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E5E" w:rsidRPr="001C6D2E" w:rsidRDefault="002D5E5E" w:rsidP="002D5E5E">
      <w:pPr>
        <w:pStyle w:val="20"/>
        <w:shd w:val="clear" w:color="auto" w:fill="auto"/>
        <w:tabs>
          <w:tab w:val="left" w:pos="1134"/>
        </w:tabs>
        <w:spacing w:before="0" w:after="100" w:line="240" w:lineRule="auto"/>
        <w:ind w:left="927" w:firstLine="0"/>
        <w:jc w:val="both"/>
        <w:rPr>
          <w:b/>
          <w:sz w:val="24"/>
          <w:szCs w:val="24"/>
          <w:lang w:val="uk-UA"/>
        </w:rPr>
      </w:pPr>
      <w:r w:rsidRPr="001C6D2E">
        <w:rPr>
          <w:b/>
          <w:sz w:val="24"/>
          <w:szCs w:val="24"/>
          <w:lang w:val="uk-UA"/>
        </w:rPr>
        <w:t xml:space="preserve">                                                                       </w:t>
      </w:r>
      <w:r w:rsidRPr="001C6D2E">
        <w:rPr>
          <w:bCs/>
          <w:sz w:val="24"/>
          <w:szCs w:val="24"/>
          <w:lang w:val="uk-UA" w:eastAsia="ru-RU"/>
        </w:rPr>
        <w:t xml:space="preserve">Затверджено Наглядовою                </w:t>
      </w:r>
    </w:p>
    <w:p w:rsidR="002D5E5E" w:rsidRPr="001C6D2E" w:rsidRDefault="002D5E5E" w:rsidP="002D5E5E">
      <w:pPr>
        <w:pStyle w:val="20"/>
        <w:shd w:val="clear" w:color="auto" w:fill="auto"/>
        <w:tabs>
          <w:tab w:val="left" w:pos="1134"/>
        </w:tabs>
        <w:spacing w:before="0" w:after="100" w:line="240" w:lineRule="auto"/>
        <w:ind w:left="927" w:firstLine="0"/>
        <w:jc w:val="both"/>
        <w:rPr>
          <w:b/>
          <w:sz w:val="24"/>
          <w:szCs w:val="24"/>
          <w:lang w:val="uk-UA"/>
        </w:rPr>
      </w:pPr>
      <w:r w:rsidRPr="001C6D2E">
        <w:rPr>
          <w:b/>
          <w:sz w:val="24"/>
          <w:szCs w:val="24"/>
          <w:lang w:val="uk-UA"/>
        </w:rPr>
        <w:t xml:space="preserve">                                                                       </w:t>
      </w:r>
      <w:r w:rsidRPr="001C6D2E">
        <w:rPr>
          <w:bCs/>
          <w:sz w:val="24"/>
          <w:szCs w:val="24"/>
          <w:lang w:val="uk-UA" w:eastAsia="ru-RU"/>
        </w:rPr>
        <w:t>радою АТ «</w:t>
      </w:r>
      <w:proofErr w:type="spellStart"/>
      <w:r w:rsidRPr="001C6D2E">
        <w:rPr>
          <w:bCs/>
          <w:sz w:val="24"/>
          <w:szCs w:val="24"/>
          <w:lang w:val="uk-UA" w:eastAsia="ru-RU"/>
        </w:rPr>
        <w:t>Екогазсервіс</w:t>
      </w:r>
      <w:proofErr w:type="spellEnd"/>
      <w:r w:rsidRPr="001C6D2E">
        <w:rPr>
          <w:bCs/>
          <w:sz w:val="24"/>
          <w:szCs w:val="24"/>
          <w:lang w:val="uk-UA" w:eastAsia="ru-RU"/>
        </w:rPr>
        <w:t>»</w:t>
      </w:r>
    </w:p>
    <w:p w:rsidR="00132521" w:rsidRDefault="002D5E5E" w:rsidP="002D5E5E">
      <w:pPr>
        <w:pStyle w:val="20"/>
        <w:shd w:val="clear" w:color="auto" w:fill="auto"/>
        <w:tabs>
          <w:tab w:val="left" w:pos="1134"/>
        </w:tabs>
        <w:spacing w:before="0" w:after="100" w:line="240" w:lineRule="auto"/>
        <w:ind w:left="927" w:firstLine="0"/>
        <w:jc w:val="both"/>
        <w:rPr>
          <w:sz w:val="24"/>
          <w:szCs w:val="24"/>
          <w:lang w:val="uk-UA"/>
        </w:rPr>
      </w:pPr>
      <w:r w:rsidRPr="001C6D2E">
        <w:rPr>
          <w:b/>
          <w:sz w:val="24"/>
          <w:szCs w:val="24"/>
          <w:lang w:val="uk-UA"/>
        </w:rPr>
        <w:t xml:space="preserve">                                                                       </w:t>
      </w:r>
      <w:r w:rsidR="00132521" w:rsidRPr="00132521">
        <w:rPr>
          <w:sz w:val="24"/>
          <w:szCs w:val="24"/>
          <w:lang w:val="uk-UA"/>
        </w:rPr>
        <w:t xml:space="preserve">(Протокол №3/2022 від </w:t>
      </w:r>
    </w:p>
    <w:p w:rsidR="002D5E5E" w:rsidRPr="00132521" w:rsidRDefault="00132521" w:rsidP="002D5E5E">
      <w:pPr>
        <w:pStyle w:val="20"/>
        <w:shd w:val="clear" w:color="auto" w:fill="auto"/>
        <w:tabs>
          <w:tab w:val="left" w:pos="1134"/>
        </w:tabs>
        <w:spacing w:before="0" w:after="100" w:line="240" w:lineRule="auto"/>
        <w:ind w:left="927" w:firstLine="0"/>
        <w:jc w:val="both"/>
        <w:rPr>
          <w:sz w:val="24"/>
          <w:szCs w:val="24"/>
          <w:lang w:val="uk-UA"/>
        </w:rPr>
      </w:pPr>
      <w:r>
        <w:rPr>
          <w:sz w:val="24"/>
          <w:szCs w:val="24"/>
          <w:lang w:val="uk-UA"/>
        </w:rPr>
        <w:t xml:space="preserve">                                                                        25.02.2022</w:t>
      </w:r>
      <w:r w:rsidRPr="00132521">
        <w:rPr>
          <w:sz w:val="24"/>
          <w:szCs w:val="24"/>
          <w:lang w:val="uk-UA"/>
        </w:rPr>
        <w:t>р</w:t>
      </w:r>
      <w:r w:rsidR="002D5E5E" w:rsidRPr="00132521">
        <w:rPr>
          <w:sz w:val="24"/>
          <w:szCs w:val="24"/>
          <w:lang w:val="uk-UA"/>
        </w:rPr>
        <w:t>.</w:t>
      </w:r>
      <w:r>
        <w:rPr>
          <w:sz w:val="24"/>
          <w:szCs w:val="24"/>
          <w:lang w:val="uk-UA"/>
        </w:rPr>
        <w:t>,</w:t>
      </w:r>
      <w:r w:rsidRPr="00132521">
        <w:t xml:space="preserve"> </w:t>
      </w:r>
      <w:r w:rsidRPr="00132521">
        <w:rPr>
          <w:sz w:val="24"/>
          <w:szCs w:val="24"/>
          <w:lang w:val="uk-UA"/>
        </w:rPr>
        <w:t>рішення 4)</w:t>
      </w:r>
      <w:r>
        <w:rPr>
          <w:sz w:val="24"/>
          <w:szCs w:val="24"/>
          <w:lang w:val="uk-UA"/>
        </w:rPr>
        <w:t xml:space="preserve">   </w:t>
      </w:r>
    </w:p>
    <w:p w:rsidR="002D5E5E" w:rsidRPr="001C6D2E" w:rsidRDefault="002D5E5E" w:rsidP="002D5E5E">
      <w:pPr>
        <w:pStyle w:val="20"/>
        <w:shd w:val="clear" w:color="auto" w:fill="auto"/>
        <w:tabs>
          <w:tab w:val="left" w:pos="1134"/>
        </w:tabs>
        <w:spacing w:before="0" w:after="100" w:line="240" w:lineRule="auto"/>
        <w:ind w:left="927" w:firstLine="0"/>
        <w:jc w:val="both"/>
        <w:rPr>
          <w:b/>
          <w:sz w:val="24"/>
          <w:szCs w:val="24"/>
          <w:lang w:val="uk-UA"/>
        </w:rPr>
      </w:pPr>
      <w:r w:rsidRPr="001C6D2E">
        <w:rPr>
          <w:b/>
          <w:sz w:val="24"/>
          <w:szCs w:val="24"/>
          <w:lang w:val="uk-UA"/>
        </w:rPr>
        <w:t xml:space="preserve">                                                                        </w:t>
      </w:r>
    </w:p>
    <w:p w:rsidR="002D5E5E" w:rsidRPr="001C6D2E" w:rsidRDefault="002D5E5E" w:rsidP="002D5E5E">
      <w:pPr>
        <w:pStyle w:val="20"/>
        <w:shd w:val="clear" w:color="auto" w:fill="auto"/>
        <w:tabs>
          <w:tab w:val="left" w:pos="1134"/>
        </w:tabs>
        <w:spacing w:before="0" w:after="100" w:line="240" w:lineRule="auto"/>
        <w:ind w:left="927" w:firstLine="0"/>
        <w:jc w:val="both"/>
        <w:rPr>
          <w:b/>
          <w:sz w:val="24"/>
          <w:szCs w:val="24"/>
          <w:lang w:val="uk-UA"/>
        </w:rPr>
      </w:pPr>
    </w:p>
    <w:p w:rsidR="002D5E5E" w:rsidRPr="001C6D2E" w:rsidRDefault="002D5E5E" w:rsidP="002D5E5E">
      <w:pPr>
        <w:pStyle w:val="20"/>
        <w:shd w:val="clear" w:color="auto" w:fill="auto"/>
        <w:tabs>
          <w:tab w:val="left" w:pos="1134"/>
        </w:tabs>
        <w:spacing w:before="0" w:after="100" w:line="240" w:lineRule="auto"/>
        <w:ind w:left="927" w:firstLine="0"/>
        <w:jc w:val="both"/>
        <w:rPr>
          <w:sz w:val="32"/>
          <w:szCs w:val="32"/>
          <w:lang w:val="uk-UA"/>
        </w:rPr>
      </w:pPr>
      <w:r w:rsidRPr="001C6D2E">
        <w:rPr>
          <w:b/>
          <w:sz w:val="32"/>
          <w:szCs w:val="32"/>
          <w:lang w:val="uk-UA"/>
        </w:rPr>
        <w:t>Положення про винагороду Директора</w:t>
      </w:r>
      <w:r w:rsidRPr="001C6D2E">
        <w:rPr>
          <w:sz w:val="32"/>
          <w:szCs w:val="32"/>
          <w:lang w:val="uk-UA"/>
        </w:rPr>
        <w:t xml:space="preserve"> </w:t>
      </w:r>
    </w:p>
    <w:p w:rsidR="002D5E5E" w:rsidRPr="001C6D2E" w:rsidRDefault="002D5E5E" w:rsidP="002D5E5E">
      <w:pPr>
        <w:pStyle w:val="20"/>
        <w:shd w:val="clear" w:color="auto" w:fill="auto"/>
        <w:tabs>
          <w:tab w:val="left" w:pos="1134"/>
        </w:tabs>
        <w:spacing w:before="0" w:after="100" w:line="240" w:lineRule="auto"/>
        <w:ind w:left="927" w:firstLine="0"/>
        <w:jc w:val="both"/>
        <w:rPr>
          <w:sz w:val="24"/>
          <w:szCs w:val="24"/>
          <w:lang w:val="uk-UA"/>
        </w:rPr>
      </w:pPr>
    </w:p>
    <w:p w:rsidR="0001346B" w:rsidRDefault="002D5E5E" w:rsidP="0001346B">
      <w:pPr>
        <w:pStyle w:val="20"/>
        <w:shd w:val="clear" w:color="auto" w:fill="auto"/>
        <w:tabs>
          <w:tab w:val="left" w:pos="1134"/>
        </w:tabs>
        <w:spacing w:before="0" w:after="100" w:line="240" w:lineRule="auto"/>
        <w:ind w:left="927" w:firstLine="0"/>
        <w:jc w:val="both"/>
        <w:rPr>
          <w:sz w:val="24"/>
          <w:szCs w:val="24"/>
          <w:lang w:val="uk-UA"/>
        </w:rPr>
      </w:pPr>
      <w:r w:rsidRPr="001C6D2E">
        <w:rPr>
          <w:sz w:val="24"/>
          <w:szCs w:val="24"/>
          <w:lang w:val="uk-UA"/>
        </w:rPr>
        <w:t xml:space="preserve">(відповідно до вимог Національної комісії з цінних паперів та </w:t>
      </w:r>
    </w:p>
    <w:p w:rsidR="0001346B" w:rsidRDefault="002D5E5E" w:rsidP="0001346B">
      <w:pPr>
        <w:pStyle w:val="20"/>
        <w:shd w:val="clear" w:color="auto" w:fill="auto"/>
        <w:tabs>
          <w:tab w:val="left" w:pos="1134"/>
        </w:tabs>
        <w:spacing w:before="0" w:after="100" w:line="240" w:lineRule="auto"/>
        <w:ind w:left="927" w:firstLine="0"/>
        <w:jc w:val="both"/>
        <w:rPr>
          <w:bCs/>
          <w:sz w:val="24"/>
          <w:szCs w:val="24"/>
          <w:lang w:val="uk-UA" w:eastAsia="ru-RU"/>
        </w:rPr>
      </w:pPr>
      <w:r w:rsidRPr="001C6D2E">
        <w:rPr>
          <w:sz w:val="24"/>
          <w:szCs w:val="24"/>
          <w:lang w:val="uk-UA"/>
        </w:rPr>
        <w:t>фондового ринку (</w:t>
      </w:r>
      <w:r w:rsidRPr="001C6D2E">
        <w:rPr>
          <w:bCs/>
          <w:sz w:val="24"/>
          <w:szCs w:val="24"/>
          <w:lang w:val="uk-UA" w:eastAsia="ru-RU"/>
        </w:rPr>
        <w:t xml:space="preserve">рішення Національної комісії з цінних паперів </w:t>
      </w:r>
    </w:p>
    <w:p w:rsidR="002D5E5E" w:rsidRPr="0001346B" w:rsidRDefault="002D5E5E" w:rsidP="0001346B">
      <w:pPr>
        <w:pStyle w:val="20"/>
        <w:shd w:val="clear" w:color="auto" w:fill="auto"/>
        <w:tabs>
          <w:tab w:val="left" w:pos="1134"/>
        </w:tabs>
        <w:spacing w:before="0" w:after="100" w:line="240" w:lineRule="auto"/>
        <w:ind w:left="927" w:firstLine="0"/>
        <w:jc w:val="both"/>
        <w:rPr>
          <w:sz w:val="24"/>
          <w:szCs w:val="24"/>
          <w:lang w:val="uk-UA"/>
        </w:rPr>
      </w:pPr>
      <w:r w:rsidRPr="001C6D2E">
        <w:rPr>
          <w:bCs/>
          <w:sz w:val="24"/>
          <w:szCs w:val="24"/>
          <w:lang w:val="uk-UA" w:eastAsia="ru-RU"/>
        </w:rPr>
        <w:t xml:space="preserve">та фондового ринку 25 вересня 2018 року № 659). </w:t>
      </w:r>
    </w:p>
    <w:p w:rsidR="002D5E5E" w:rsidRPr="001C6D2E" w:rsidRDefault="002D5E5E" w:rsidP="002D5E5E">
      <w:pPr>
        <w:pStyle w:val="20"/>
        <w:shd w:val="clear" w:color="auto" w:fill="auto"/>
        <w:tabs>
          <w:tab w:val="left" w:pos="1134"/>
        </w:tabs>
        <w:spacing w:before="0" w:after="100" w:line="240" w:lineRule="auto"/>
        <w:ind w:left="927" w:firstLine="0"/>
        <w:jc w:val="both"/>
        <w:rPr>
          <w:b/>
          <w:bCs/>
          <w:sz w:val="24"/>
          <w:szCs w:val="24"/>
          <w:lang w:val="uk-UA" w:eastAsia="ru-RU"/>
        </w:rPr>
      </w:pPr>
      <w:r w:rsidRPr="001C6D2E">
        <w:rPr>
          <w:bCs/>
          <w:sz w:val="24"/>
          <w:szCs w:val="24"/>
          <w:lang w:val="uk-UA" w:eastAsia="ru-RU"/>
        </w:rPr>
        <w:t xml:space="preserve">                          </w:t>
      </w:r>
    </w:p>
    <w:p w:rsidR="002D5E5E" w:rsidRDefault="0001346B" w:rsidP="0001346B">
      <w:pPr>
        <w:pStyle w:val="20"/>
        <w:numPr>
          <w:ilvl w:val="0"/>
          <w:numId w:val="1"/>
        </w:numPr>
        <w:shd w:val="clear" w:color="auto" w:fill="auto"/>
        <w:tabs>
          <w:tab w:val="left" w:pos="1134"/>
        </w:tabs>
        <w:spacing w:before="0" w:after="100" w:line="240" w:lineRule="auto"/>
        <w:jc w:val="both"/>
        <w:rPr>
          <w:bCs/>
          <w:sz w:val="24"/>
          <w:szCs w:val="24"/>
          <w:lang w:val="uk-UA" w:eastAsia="ru-RU"/>
        </w:rPr>
      </w:pPr>
      <w:r>
        <w:rPr>
          <w:bCs/>
          <w:sz w:val="24"/>
          <w:szCs w:val="24"/>
          <w:lang w:val="uk-UA" w:eastAsia="ru-RU"/>
        </w:rPr>
        <w:t>Загальні положення.</w:t>
      </w:r>
    </w:p>
    <w:p w:rsidR="0001346B" w:rsidRPr="0001346B" w:rsidRDefault="0001346B" w:rsidP="0001346B">
      <w:pPr>
        <w:pStyle w:val="20"/>
        <w:shd w:val="clear" w:color="auto" w:fill="auto"/>
        <w:tabs>
          <w:tab w:val="left" w:pos="1134"/>
        </w:tabs>
        <w:spacing w:before="0" w:after="100" w:line="240" w:lineRule="auto"/>
        <w:ind w:left="432" w:firstLine="0"/>
        <w:jc w:val="both"/>
        <w:rPr>
          <w:bCs/>
          <w:sz w:val="24"/>
          <w:szCs w:val="24"/>
          <w:lang w:val="uk-UA" w:eastAsia="ru-RU"/>
        </w:rPr>
      </w:pP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Це Положення розроблено відповідно до Закону України «Про акціонерні товариства», інших Законів України, нормативно-правових актів Національної комісії з цінних паперів та фондового ринку, Статуту (Нова редакція) Акціонерного Товариства «Васильківська фірма «</w:t>
      </w:r>
      <w:proofErr w:type="spellStart"/>
      <w:r w:rsidRPr="001C6D2E">
        <w:rPr>
          <w:bCs/>
          <w:sz w:val="24"/>
          <w:szCs w:val="24"/>
          <w:lang w:val="uk-UA" w:eastAsia="ru-RU"/>
        </w:rPr>
        <w:t>Екогазсервіс</w:t>
      </w:r>
      <w:proofErr w:type="spellEnd"/>
      <w:r w:rsidRPr="001C6D2E">
        <w:rPr>
          <w:bCs/>
          <w:sz w:val="24"/>
          <w:szCs w:val="24"/>
          <w:lang w:val="uk-UA" w:eastAsia="ru-RU"/>
        </w:rPr>
        <w:t>» (далі – Товариство) та внутрішніх положень Товариства.</w:t>
      </w: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Цим Положенням встановлюються основні принципи формування політики винагород Виконавчого органу Товариства – Директора за виконання ним своїх повноважень та обов’язків на займаній посаді, порядок встановлення та визначення розміру його винагороди, порядок і строки виплати винагороди.</w:t>
      </w: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Це Положення спрямоване на стимулювання результативної та ефективної діяльності Виконавчого органу Товариства з метою сприяння Товариству в досягненні своїх бізнес-стратегій, прибутковості, стабільності, забезпечення захисту інтересів акціонерів Товариства.</w:t>
      </w: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Положення про винагороду членів Виконавчого органу Товариства затверджує Наглядова рада Товариства після того, як його розгляне Комітет з питань призначень та винагород Товариства.</w:t>
      </w: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Контроль за виконанням цього Положення здійснює Комітет з питань призначень та винагород.</w:t>
      </w:r>
    </w:p>
    <w:p w:rsidR="002D5E5E" w:rsidRPr="001C6D2E" w:rsidRDefault="002D5E5E" w:rsidP="002D5E5E">
      <w:pPr>
        <w:pStyle w:val="20"/>
        <w:tabs>
          <w:tab w:val="left" w:pos="1134"/>
        </w:tabs>
        <w:spacing w:after="100" w:line="240" w:lineRule="auto"/>
        <w:ind w:firstLine="0"/>
        <w:jc w:val="both"/>
        <w:rPr>
          <w:bCs/>
          <w:sz w:val="24"/>
          <w:szCs w:val="24"/>
          <w:lang w:val="uk-UA" w:eastAsia="ru-RU"/>
        </w:rPr>
      </w:pPr>
    </w:p>
    <w:p w:rsidR="002D5E5E" w:rsidRPr="001C6D2E" w:rsidRDefault="002D5E5E" w:rsidP="002D5E5E">
      <w:pPr>
        <w:pStyle w:val="20"/>
        <w:numPr>
          <w:ilvl w:val="0"/>
          <w:numId w:val="1"/>
        </w:numPr>
        <w:tabs>
          <w:tab w:val="left" w:pos="1134"/>
        </w:tabs>
        <w:spacing w:after="100" w:line="240" w:lineRule="auto"/>
        <w:jc w:val="both"/>
        <w:rPr>
          <w:bCs/>
          <w:sz w:val="24"/>
          <w:szCs w:val="24"/>
          <w:lang w:val="uk-UA" w:eastAsia="ru-RU"/>
        </w:rPr>
      </w:pPr>
      <w:r w:rsidRPr="001C6D2E">
        <w:rPr>
          <w:bCs/>
          <w:sz w:val="24"/>
          <w:szCs w:val="24"/>
          <w:lang w:val="uk-UA" w:eastAsia="ru-RU"/>
        </w:rPr>
        <w:t>Порядок встановлення та визначення розміру винагороди Директора</w:t>
      </w:r>
    </w:p>
    <w:p w:rsidR="002D5E5E" w:rsidRPr="001C6D2E" w:rsidRDefault="002D5E5E" w:rsidP="002D5E5E">
      <w:pPr>
        <w:pStyle w:val="20"/>
        <w:tabs>
          <w:tab w:val="left" w:pos="1134"/>
        </w:tabs>
        <w:spacing w:after="100" w:line="240" w:lineRule="auto"/>
        <w:ind w:left="432" w:firstLine="0"/>
        <w:jc w:val="both"/>
        <w:rPr>
          <w:bCs/>
          <w:sz w:val="24"/>
          <w:szCs w:val="24"/>
          <w:lang w:val="uk-UA" w:eastAsia="ru-RU"/>
        </w:rPr>
      </w:pPr>
      <w:r w:rsidRPr="001C6D2E">
        <w:rPr>
          <w:bCs/>
          <w:sz w:val="24"/>
          <w:szCs w:val="24"/>
          <w:lang w:val="uk-UA" w:eastAsia="ru-RU"/>
        </w:rPr>
        <w:t>Товариства.</w:t>
      </w:r>
    </w:p>
    <w:p w:rsidR="002D5E5E" w:rsidRPr="001C6D2E" w:rsidRDefault="002D5E5E" w:rsidP="002D5E5E">
      <w:pPr>
        <w:pStyle w:val="20"/>
        <w:tabs>
          <w:tab w:val="left" w:pos="1134"/>
        </w:tabs>
        <w:spacing w:after="100" w:line="240" w:lineRule="auto"/>
        <w:ind w:left="432" w:firstLine="0"/>
        <w:jc w:val="both"/>
        <w:rPr>
          <w:bCs/>
          <w:sz w:val="24"/>
          <w:szCs w:val="24"/>
          <w:lang w:val="uk-UA" w:eastAsia="ru-RU"/>
        </w:rPr>
      </w:pP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Розміри винагороди та умови їх виплати Директору Товариства</w:t>
      </w:r>
    </w:p>
    <w:p w:rsidR="002D5E5E" w:rsidRPr="001C6D2E" w:rsidRDefault="002D5E5E" w:rsidP="002D5E5E">
      <w:pPr>
        <w:pStyle w:val="20"/>
        <w:tabs>
          <w:tab w:val="left" w:pos="1134"/>
        </w:tabs>
        <w:spacing w:after="100" w:line="240" w:lineRule="auto"/>
        <w:ind w:left="927"/>
        <w:jc w:val="both"/>
        <w:rPr>
          <w:bCs/>
          <w:sz w:val="24"/>
          <w:szCs w:val="24"/>
          <w:lang w:val="uk-UA" w:eastAsia="ru-RU"/>
        </w:rPr>
      </w:pPr>
      <w:r w:rsidRPr="001C6D2E">
        <w:rPr>
          <w:bCs/>
          <w:sz w:val="24"/>
          <w:szCs w:val="24"/>
          <w:lang w:val="uk-UA" w:eastAsia="ru-RU"/>
        </w:rPr>
        <w:t xml:space="preserve">       встановлюється Наглядовою радою Товариства та цивільно-правовим чи</w:t>
      </w:r>
    </w:p>
    <w:p w:rsidR="002D5E5E" w:rsidRPr="001C6D2E" w:rsidRDefault="002D5E5E" w:rsidP="002D5E5E">
      <w:pPr>
        <w:pStyle w:val="20"/>
        <w:tabs>
          <w:tab w:val="left" w:pos="1134"/>
        </w:tabs>
        <w:spacing w:after="100" w:line="240" w:lineRule="auto"/>
        <w:ind w:left="927"/>
        <w:jc w:val="both"/>
        <w:rPr>
          <w:bCs/>
          <w:sz w:val="24"/>
          <w:szCs w:val="24"/>
          <w:lang w:val="uk-UA" w:eastAsia="ru-RU"/>
        </w:rPr>
      </w:pPr>
      <w:r w:rsidRPr="001C6D2E">
        <w:rPr>
          <w:bCs/>
          <w:sz w:val="24"/>
          <w:szCs w:val="24"/>
          <w:lang w:val="uk-UA" w:eastAsia="ru-RU"/>
        </w:rPr>
        <w:t xml:space="preserve">       трудовим договором (контрактом), що укладається з Директором, у</w:t>
      </w:r>
    </w:p>
    <w:p w:rsidR="002D5E5E" w:rsidRPr="001C6D2E" w:rsidRDefault="002D5E5E" w:rsidP="002D5E5E">
      <w:pPr>
        <w:pStyle w:val="20"/>
        <w:tabs>
          <w:tab w:val="left" w:pos="1134"/>
        </w:tabs>
        <w:spacing w:after="100" w:line="240" w:lineRule="auto"/>
        <w:ind w:left="927"/>
        <w:jc w:val="both"/>
        <w:rPr>
          <w:bCs/>
          <w:sz w:val="24"/>
          <w:szCs w:val="24"/>
          <w:lang w:val="uk-UA" w:eastAsia="ru-RU"/>
        </w:rPr>
      </w:pPr>
      <w:r w:rsidRPr="001C6D2E">
        <w:rPr>
          <w:bCs/>
          <w:sz w:val="24"/>
          <w:szCs w:val="24"/>
          <w:lang w:val="uk-UA" w:eastAsia="ru-RU"/>
        </w:rPr>
        <w:t xml:space="preserve">       відповідності до Статуту (Нова редакція) Товариства, Положенням про</w:t>
      </w:r>
    </w:p>
    <w:p w:rsidR="002D5E5E" w:rsidRPr="001C6D2E" w:rsidRDefault="002D5E5E" w:rsidP="002D5E5E">
      <w:pPr>
        <w:pStyle w:val="20"/>
        <w:tabs>
          <w:tab w:val="left" w:pos="1134"/>
        </w:tabs>
        <w:spacing w:after="100" w:line="240" w:lineRule="auto"/>
        <w:ind w:left="927"/>
        <w:jc w:val="both"/>
        <w:rPr>
          <w:bCs/>
          <w:sz w:val="24"/>
          <w:szCs w:val="24"/>
          <w:lang w:val="uk-UA" w:eastAsia="ru-RU"/>
        </w:rPr>
      </w:pPr>
      <w:r w:rsidRPr="001C6D2E">
        <w:rPr>
          <w:bCs/>
          <w:sz w:val="24"/>
          <w:szCs w:val="24"/>
          <w:lang w:val="uk-UA" w:eastAsia="ru-RU"/>
        </w:rPr>
        <w:t xml:space="preserve">       Виконавчий орган, рішеннями Наглядової ради та цим Положенням.</w:t>
      </w: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lastRenderedPageBreak/>
        <w:t>Винагорода Директору Товариства встановлюється у фіксованому розмірі, який визначається на умовах, викладених в Контракті.</w:t>
      </w: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Крім фіксованої винагороди можуть також виплачуватись змінні частини винагороди, як то винагорода за результатами діяльності, пенсійні домовленості та компенсація при звільненні.</w:t>
      </w:r>
    </w:p>
    <w:p w:rsidR="002D5E5E" w:rsidRPr="001C6D2E" w:rsidRDefault="002D5E5E" w:rsidP="002D5E5E">
      <w:pPr>
        <w:pStyle w:val="20"/>
        <w:tabs>
          <w:tab w:val="left" w:pos="1134"/>
        </w:tabs>
        <w:spacing w:after="100" w:line="240" w:lineRule="auto"/>
        <w:ind w:left="927"/>
        <w:jc w:val="both"/>
        <w:rPr>
          <w:bCs/>
          <w:sz w:val="24"/>
          <w:szCs w:val="24"/>
          <w:lang w:val="uk-UA" w:eastAsia="ru-RU"/>
        </w:rPr>
      </w:pPr>
      <w:r w:rsidRPr="001C6D2E">
        <w:rPr>
          <w:bCs/>
          <w:sz w:val="24"/>
          <w:szCs w:val="24"/>
          <w:lang w:val="uk-UA" w:eastAsia="ru-RU"/>
        </w:rPr>
        <w:t xml:space="preserve">       Рішення про виплату змінної частини винагороди Директору</w:t>
      </w:r>
    </w:p>
    <w:p w:rsidR="002D5E5E" w:rsidRPr="001C6D2E" w:rsidRDefault="002D5E5E" w:rsidP="002D5E5E">
      <w:pPr>
        <w:pStyle w:val="20"/>
        <w:tabs>
          <w:tab w:val="left" w:pos="1134"/>
        </w:tabs>
        <w:spacing w:after="100" w:line="240" w:lineRule="auto"/>
        <w:ind w:left="927"/>
        <w:jc w:val="both"/>
        <w:rPr>
          <w:bCs/>
          <w:sz w:val="24"/>
          <w:szCs w:val="24"/>
          <w:lang w:val="uk-UA" w:eastAsia="ru-RU"/>
        </w:rPr>
      </w:pPr>
      <w:r w:rsidRPr="001C6D2E">
        <w:rPr>
          <w:bCs/>
          <w:sz w:val="24"/>
          <w:szCs w:val="24"/>
          <w:lang w:val="uk-UA" w:eastAsia="ru-RU"/>
        </w:rPr>
        <w:t xml:space="preserve">       приймається Наглядовою радою Товариства.</w:t>
      </w:r>
    </w:p>
    <w:p w:rsidR="002D5E5E" w:rsidRPr="001C6D2E" w:rsidRDefault="00BF7CA7" w:rsidP="002D5E5E">
      <w:pPr>
        <w:pStyle w:val="a3"/>
        <w:numPr>
          <w:ilvl w:val="1"/>
          <w:numId w:val="1"/>
        </w:numPr>
        <w:shd w:val="clear" w:color="auto" w:fill="FFFFFF"/>
        <w:spacing w:before="120" w:after="120"/>
        <w:rPr>
          <w:bCs/>
          <w:lang w:val="uk-UA" w:eastAsia="ru-RU"/>
        </w:rPr>
      </w:pPr>
      <w:r>
        <w:rPr>
          <w:bCs/>
          <w:lang w:val="uk-UA" w:eastAsia="ru-RU"/>
        </w:rPr>
        <w:t xml:space="preserve"> </w:t>
      </w:r>
      <w:r w:rsidR="00E74F08">
        <w:rPr>
          <w:bCs/>
          <w:lang w:val="uk-UA" w:eastAsia="ru-RU"/>
        </w:rPr>
        <w:t xml:space="preserve"> </w:t>
      </w:r>
      <w:r w:rsidR="00E74F08" w:rsidRPr="001C6D2E">
        <w:rPr>
          <w:bCs/>
          <w:lang w:val="uk-UA" w:eastAsia="ru-RU"/>
        </w:rPr>
        <w:t xml:space="preserve">Винагорода за результатами діяльності Директора </w:t>
      </w:r>
      <w:r w:rsidR="00E74F08" w:rsidRPr="001C6D2E">
        <w:rPr>
          <w:color w:val="333333"/>
          <w:lang w:val="uk-UA"/>
        </w:rPr>
        <w:t>встановлюється як</w:t>
      </w:r>
      <w:r w:rsidR="00E74F08">
        <w:rPr>
          <w:bCs/>
          <w:lang w:val="uk-UA" w:eastAsia="ru-RU"/>
        </w:rPr>
        <w:t xml:space="preserve">  </w:t>
      </w:r>
      <w:r w:rsidRPr="00D30001">
        <w:rPr>
          <w:rFonts w:eastAsia="Times New Roman"/>
          <w:color w:val="333333"/>
          <w:lang w:val="uk-UA" w:eastAsia="ru-RU"/>
        </w:rPr>
        <w:t xml:space="preserve">щоквартальний бонус у розмірі </w:t>
      </w:r>
      <w:r>
        <w:rPr>
          <w:color w:val="333333"/>
          <w:lang w:val="uk-UA"/>
        </w:rPr>
        <w:t xml:space="preserve">5% </w:t>
      </w:r>
      <w:r w:rsidRPr="00D30001">
        <w:rPr>
          <w:rFonts w:eastAsia="Times New Roman"/>
          <w:color w:val="333333"/>
          <w:lang w:val="uk-UA" w:eastAsia="ru-RU"/>
        </w:rPr>
        <w:t xml:space="preserve"> квартального посадового окладу. Розмір бонусу ґрунтується на виконанні корпоративних та індивідуальних задач. Рішення про виплату бонусу Товариство повинно прийняти не пізніше 25 числа місяця, наступного за останнім місяцем кварталу, за умови, якщо Керівник </w:t>
      </w:r>
      <w:proofErr w:type="spellStart"/>
      <w:r w:rsidRPr="00D30001">
        <w:rPr>
          <w:rFonts w:eastAsia="Times New Roman"/>
          <w:color w:val="333333"/>
          <w:lang w:val="uk-UA" w:eastAsia="ru-RU"/>
        </w:rPr>
        <w:t>надасть</w:t>
      </w:r>
      <w:proofErr w:type="spellEnd"/>
      <w:r w:rsidRPr="00D30001">
        <w:rPr>
          <w:rFonts w:eastAsia="Times New Roman"/>
          <w:color w:val="333333"/>
          <w:lang w:val="uk-UA" w:eastAsia="ru-RU"/>
        </w:rPr>
        <w:t xml:space="preserve"> Наглядовій Раді письмові дані про результати діяльності Товариства за квартал.</w:t>
      </w:r>
      <w:r w:rsidR="00E74F08">
        <w:rPr>
          <w:bCs/>
          <w:lang w:val="uk-UA" w:eastAsia="ru-RU"/>
        </w:rPr>
        <w:t xml:space="preserve"> </w:t>
      </w:r>
      <w:r w:rsidR="002D5E5E" w:rsidRPr="001C6D2E">
        <w:rPr>
          <w:bCs/>
          <w:lang w:val="uk-UA" w:eastAsia="ru-RU"/>
        </w:rPr>
        <w:t>В окремих випадках Директору на підставі рішення Наглядової ради можуть виплачуватися грошові винагороди, які мають одноразовий характер. До них належать:</w:t>
      </w:r>
    </w:p>
    <w:p w:rsidR="002D5E5E" w:rsidRPr="001C6D2E" w:rsidRDefault="002D5E5E" w:rsidP="002D5E5E">
      <w:pPr>
        <w:pStyle w:val="20"/>
        <w:tabs>
          <w:tab w:val="left" w:pos="1134"/>
        </w:tabs>
        <w:spacing w:after="100" w:line="240" w:lineRule="auto"/>
        <w:ind w:left="927"/>
        <w:jc w:val="both"/>
        <w:rPr>
          <w:bCs/>
          <w:sz w:val="24"/>
          <w:szCs w:val="24"/>
          <w:lang w:val="uk-UA" w:eastAsia="ru-RU"/>
        </w:rPr>
      </w:pPr>
      <w:r w:rsidRPr="001C6D2E">
        <w:rPr>
          <w:bCs/>
          <w:sz w:val="24"/>
          <w:szCs w:val="24"/>
          <w:lang w:val="uk-UA" w:eastAsia="ru-RU"/>
        </w:rPr>
        <w:t xml:space="preserve">        - заохочення, пов'язані з конкретними результатами праці;</w:t>
      </w:r>
    </w:p>
    <w:p w:rsidR="002D5E5E" w:rsidRPr="001C6D2E" w:rsidRDefault="002D5E5E" w:rsidP="002D5E5E">
      <w:pPr>
        <w:pStyle w:val="20"/>
        <w:tabs>
          <w:tab w:val="left" w:pos="1134"/>
        </w:tabs>
        <w:spacing w:after="100" w:line="240" w:lineRule="auto"/>
        <w:ind w:left="927"/>
        <w:jc w:val="both"/>
        <w:rPr>
          <w:bCs/>
          <w:sz w:val="24"/>
          <w:szCs w:val="24"/>
          <w:lang w:val="uk-UA" w:eastAsia="ru-RU"/>
        </w:rPr>
      </w:pPr>
      <w:r w:rsidRPr="001C6D2E">
        <w:rPr>
          <w:bCs/>
          <w:sz w:val="24"/>
          <w:szCs w:val="24"/>
          <w:lang w:val="uk-UA" w:eastAsia="ru-RU"/>
        </w:rPr>
        <w:t xml:space="preserve">        - заохочення, не пов'язані з конкретними результатами праці (наприклад, до ювілейних і пам'ятних дат, з нагоди державних, професійних свят, тощо).</w:t>
      </w: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Виплата фіксованої винагороди Директору Товариства здійснюється з</w:t>
      </w:r>
    </w:p>
    <w:p w:rsidR="002D5E5E" w:rsidRPr="001C6D2E" w:rsidRDefault="002D5E5E" w:rsidP="002D5E5E">
      <w:pPr>
        <w:pStyle w:val="20"/>
        <w:tabs>
          <w:tab w:val="left" w:pos="1134"/>
        </w:tabs>
        <w:spacing w:after="100" w:line="240" w:lineRule="auto"/>
        <w:ind w:left="927"/>
        <w:jc w:val="both"/>
        <w:rPr>
          <w:bCs/>
          <w:sz w:val="24"/>
          <w:szCs w:val="24"/>
          <w:lang w:val="uk-UA" w:eastAsia="ru-RU"/>
        </w:rPr>
      </w:pPr>
      <w:r w:rsidRPr="001C6D2E">
        <w:rPr>
          <w:bCs/>
          <w:sz w:val="24"/>
          <w:szCs w:val="24"/>
          <w:lang w:val="uk-UA" w:eastAsia="ru-RU"/>
        </w:rPr>
        <w:t xml:space="preserve">       дати обрання його на цю посаду та припиняється з дати припинення</w:t>
      </w:r>
    </w:p>
    <w:p w:rsidR="002D5E5E" w:rsidRPr="001C6D2E" w:rsidRDefault="002D5E5E" w:rsidP="002D5E5E">
      <w:pPr>
        <w:pStyle w:val="20"/>
        <w:tabs>
          <w:tab w:val="left" w:pos="1134"/>
        </w:tabs>
        <w:spacing w:after="100" w:line="240" w:lineRule="auto"/>
        <w:ind w:left="927"/>
        <w:jc w:val="both"/>
        <w:rPr>
          <w:bCs/>
          <w:sz w:val="24"/>
          <w:szCs w:val="24"/>
          <w:lang w:val="uk-UA" w:eastAsia="ru-RU"/>
        </w:rPr>
      </w:pPr>
      <w:r w:rsidRPr="001C6D2E">
        <w:rPr>
          <w:bCs/>
          <w:sz w:val="24"/>
          <w:szCs w:val="24"/>
          <w:lang w:val="uk-UA" w:eastAsia="ru-RU"/>
        </w:rPr>
        <w:t xml:space="preserve">       виконання ним своїх повноважень у відповідності до Статуту (Нова</w:t>
      </w:r>
    </w:p>
    <w:p w:rsidR="002D5E5E" w:rsidRPr="001C6D2E" w:rsidRDefault="002D5E5E" w:rsidP="002D5E5E">
      <w:pPr>
        <w:pStyle w:val="20"/>
        <w:tabs>
          <w:tab w:val="left" w:pos="1134"/>
        </w:tabs>
        <w:spacing w:after="100" w:line="240" w:lineRule="auto"/>
        <w:ind w:left="927"/>
        <w:jc w:val="both"/>
        <w:rPr>
          <w:bCs/>
          <w:sz w:val="24"/>
          <w:szCs w:val="24"/>
          <w:lang w:val="uk-UA" w:eastAsia="ru-RU"/>
        </w:rPr>
      </w:pPr>
      <w:r w:rsidRPr="001C6D2E">
        <w:rPr>
          <w:bCs/>
          <w:sz w:val="24"/>
          <w:szCs w:val="24"/>
          <w:lang w:val="uk-UA" w:eastAsia="ru-RU"/>
        </w:rPr>
        <w:t xml:space="preserve">       редакція) Товариства та чинного законодавства України.</w:t>
      </w:r>
    </w:p>
    <w:p w:rsidR="002D5E5E" w:rsidRPr="001C6D2E" w:rsidRDefault="002D5E5E" w:rsidP="002D5E5E">
      <w:pPr>
        <w:pStyle w:val="20"/>
        <w:tabs>
          <w:tab w:val="left" w:pos="1134"/>
        </w:tabs>
        <w:spacing w:after="100" w:line="240" w:lineRule="auto"/>
        <w:ind w:left="927"/>
        <w:jc w:val="both"/>
        <w:rPr>
          <w:bCs/>
          <w:sz w:val="24"/>
          <w:szCs w:val="24"/>
          <w:lang w:val="uk-UA" w:eastAsia="ru-RU"/>
        </w:rPr>
      </w:pP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Положенням не передбачено виплати винагороди опціонами, базовими</w:t>
      </w:r>
    </w:p>
    <w:p w:rsidR="002D5E5E" w:rsidRPr="001C6D2E" w:rsidRDefault="002D5E5E" w:rsidP="002D5E5E">
      <w:pPr>
        <w:pStyle w:val="20"/>
        <w:tabs>
          <w:tab w:val="left" w:pos="1134"/>
        </w:tabs>
        <w:spacing w:after="100" w:line="240" w:lineRule="auto"/>
        <w:ind w:left="927"/>
        <w:jc w:val="both"/>
        <w:rPr>
          <w:bCs/>
          <w:sz w:val="24"/>
          <w:szCs w:val="24"/>
          <w:lang w:val="uk-UA" w:eastAsia="ru-RU"/>
        </w:rPr>
      </w:pPr>
      <w:r w:rsidRPr="001C6D2E">
        <w:rPr>
          <w:bCs/>
          <w:sz w:val="24"/>
          <w:szCs w:val="24"/>
          <w:lang w:val="uk-UA" w:eastAsia="ru-RU"/>
        </w:rPr>
        <w:t xml:space="preserve">       активами яких є акції Товариства, акціями Товариства та іншими не</w:t>
      </w:r>
    </w:p>
    <w:p w:rsidR="002D5E5E" w:rsidRPr="001C6D2E" w:rsidRDefault="002D5E5E" w:rsidP="002D5E5E">
      <w:pPr>
        <w:pStyle w:val="20"/>
        <w:tabs>
          <w:tab w:val="left" w:pos="1134"/>
        </w:tabs>
        <w:spacing w:after="100" w:line="240" w:lineRule="auto"/>
        <w:ind w:left="927"/>
        <w:jc w:val="both"/>
        <w:rPr>
          <w:bCs/>
          <w:sz w:val="24"/>
          <w:szCs w:val="24"/>
          <w:lang w:val="uk-UA" w:eastAsia="ru-RU"/>
        </w:rPr>
      </w:pPr>
      <w:r w:rsidRPr="001C6D2E">
        <w:rPr>
          <w:bCs/>
          <w:sz w:val="24"/>
          <w:szCs w:val="24"/>
          <w:lang w:val="uk-UA" w:eastAsia="ru-RU"/>
        </w:rPr>
        <w:t xml:space="preserve">       грошовими виплатами.</w:t>
      </w: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Положення про винагороду Виконавчого органу затверджується Наглядовою радою після його затвердження Комітетом з винагород.</w:t>
      </w: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 xml:space="preserve">Контракт з Директором діє до повного виконання обов’язків згідно Контракту. Наглядова Рада Товариства може у будь-який час прийняти рішення про дострокове розірвання контракту з Директором з попереднім письмовим повідомленням Директора за 5 днів до розірвання контракту. </w:t>
      </w: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Без рішення Наглядової Ради повноваження Директора припиняються:</w:t>
      </w:r>
    </w:p>
    <w:p w:rsidR="002D5E5E" w:rsidRPr="001C6D2E" w:rsidRDefault="002D5E5E" w:rsidP="002D5E5E">
      <w:pPr>
        <w:pStyle w:val="20"/>
        <w:tabs>
          <w:tab w:val="left" w:pos="1134"/>
        </w:tabs>
        <w:spacing w:after="100" w:line="240" w:lineRule="auto"/>
        <w:ind w:left="927"/>
        <w:jc w:val="both"/>
        <w:rPr>
          <w:bCs/>
          <w:sz w:val="24"/>
          <w:szCs w:val="24"/>
          <w:lang w:val="uk-UA" w:eastAsia="ru-RU"/>
        </w:rPr>
      </w:pPr>
      <w:r w:rsidRPr="001C6D2E">
        <w:rPr>
          <w:bCs/>
          <w:sz w:val="24"/>
          <w:szCs w:val="24"/>
          <w:lang w:val="uk-UA" w:eastAsia="ru-RU"/>
        </w:rPr>
        <w:t xml:space="preserve">       - за його бажанням за умови письмового повідомлення АТ про це за 60 днів до розірвання контракту;</w:t>
      </w:r>
    </w:p>
    <w:p w:rsidR="002D5E5E" w:rsidRPr="001C6D2E" w:rsidRDefault="002D5E5E" w:rsidP="002D5E5E">
      <w:pPr>
        <w:pStyle w:val="20"/>
        <w:tabs>
          <w:tab w:val="left" w:pos="1134"/>
        </w:tabs>
        <w:spacing w:after="100" w:line="240" w:lineRule="auto"/>
        <w:ind w:left="927"/>
        <w:jc w:val="both"/>
        <w:rPr>
          <w:bCs/>
          <w:sz w:val="24"/>
          <w:szCs w:val="24"/>
          <w:lang w:val="uk-UA" w:eastAsia="ru-RU"/>
        </w:rPr>
      </w:pPr>
      <w:r w:rsidRPr="001C6D2E">
        <w:rPr>
          <w:bCs/>
          <w:sz w:val="24"/>
          <w:szCs w:val="24"/>
          <w:lang w:val="uk-UA" w:eastAsia="ru-RU"/>
        </w:rPr>
        <w:t xml:space="preserve">       - в разі неможливості виконання обов'язків Директора АТ за станом здоров'я;</w:t>
      </w:r>
    </w:p>
    <w:p w:rsidR="002D5E5E" w:rsidRPr="001C6D2E" w:rsidRDefault="002D5E5E" w:rsidP="002D5E5E">
      <w:pPr>
        <w:pStyle w:val="20"/>
        <w:tabs>
          <w:tab w:val="left" w:pos="1134"/>
        </w:tabs>
        <w:spacing w:after="100" w:line="240" w:lineRule="auto"/>
        <w:ind w:left="927"/>
        <w:jc w:val="both"/>
        <w:rPr>
          <w:bCs/>
          <w:sz w:val="24"/>
          <w:szCs w:val="24"/>
          <w:lang w:val="uk-UA" w:eastAsia="ru-RU"/>
        </w:rPr>
      </w:pPr>
      <w:r w:rsidRPr="001C6D2E">
        <w:rPr>
          <w:bCs/>
          <w:sz w:val="24"/>
          <w:szCs w:val="24"/>
          <w:lang w:val="uk-UA" w:eastAsia="ru-RU"/>
        </w:rPr>
        <w:t xml:space="preserve">       - в разі набрання законної сили </w:t>
      </w:r>
      <w:proofErr w:type="spellStart"/>
      <w:r w:rsidRPr="001C6D2E">
        <w:rPr>
          <w:bCs/>
          <w:sz w:val="24"/>
          <w:szCs w:val="24"/>
          <w:lang w:val="uk-UA" w:eastAsia="ru-RU"/>
        </w:rPr>
        <w:t>вироком</w:t>
      </w:r>
      <w:proofErr w:type="spellEnd"/>
      <w:r w:rsidRPr="001C6D2E">
        <w:rPr>
          <w:bCs/>
          <w:sz w:val="24"/>
          <w:szCs w:val="24"/>
          <w:lang w:val="uk-UA" w:eastAsia="ru-RU"/>
        </w:rPr>
        <w:t xml:space="preserve"> чи рішенням суду, яким його засуджено до покарання, що виключає можливість виконання обов'язків Директором АТ;</w:t>
      </w:r>
    </w:p>
    <w:p w:rsidR="002D5E5E" w:rsidRPr="001C6D2E" w:rsidRDefault="002D5E5E" w:rsidP="002D5E5E">
      <w:pPr>
        <w:pStyle w:val="20"/>
        <w:tabs>
          <w:tab w:val="left" w:pos="1134"/>
        </w:tabs>
        <w:spacing w:after="100" w:line="240" w:lineRule="auto"/>
        <w:ind w:left="927"/>
        <w:jc w:val="both"/>
        <w:rPr>
          <w:bCs/>
          <w:sz w:val="24"/>
          <w:szCs w:val="24"/>
          <w:lang w:val="uk-UA" w:eastAsia="ru-RU"/>
        </w:rPr>
      </w:pPr>
      <w:r w:rsidRPr="001C6D2E">
        <w:rPr>
          <w:bCs/>
          <w:sz w:val="24"/>
          <w:szCs w:val="24"/>
          <w:lang w:val="uk-UA" w:eastAsia="ru-RU"/>
        </w:rPr>
        <w:t xml:space="preserve">       - в разі смерті, визнання його недієздатним, обмежено дієздатним, безвісно відсутнім, померлим.</w:t>
      </w:r>
    </w:p>
    <w:p w:rsidR="002D5E5E" w:rsidRPr="001C6D2E" w:rsidRDefault="002D5E5E" w:rsidP="002D5E5E">
      <w:pPr>
        <w:pStyle w:val="20"/>
        <w:tabs>
          <w:tab w:val="left" w:pos="1134"/>
        </w:tabs>
        <w:spacing w:after="100" w:line="240" w:lineRule="auto"/>
        <w:ind w:left="927"/>
        <w:jc w:val="both"/>
        <w:rPr>
          <w:bCs/>
          <w:sz w:val="24"/>
          <w:szCs w:val="24"/>
          <w:lang w:val="uk-UA" w:eastAsia="ru-RU"/>
        </w:rPr>
      </w:pPr>
      <w:r w:rsidRPr="001C6D2E">
        <w:rPr>
          <w:bCs/>
          <w:sz w:val="24"/>
          <w:szCs w:val="24"/>
          <w:lang w:val="uk-UA" w:eastAsia="ru-RU"/>
        </w:rPr>
        <w:t xml:space="preserve">       Компенсація при звільнені виплачується відповідно до чинного</w:t>
      </w:r>
    </w:p>
    <w:p w:rsidR="002D5E5E" w:rsidRPr="001C6D2E" w:rsidRDefault="002D5E5E" w:rsidP="002D5E5E">
      <w:pPr>
        <w:pStyle w:val="20"/>
        <w:tabs>
          <w:tab w:val="left" w:pos="1134"/>
        </w:tabs>
        <w:spacing w:after="100" w:line="240" w:lineRule="auto"/>
        <w:ind w:left="927"/>
        <w:jc w:val="both"/>
        <w:rPr>
          <w:bCs/>
          <w:sz w:val="24"/>
          <w:szCs w:val="24"/>
          <w:lang w:val="uk-UA" w:eastAsia="ru-RU"/>
        </w:rPr>
      </w:pPr>
      <w:r w:rsidRPr="001C6D2E">
        <w:rPr>
          <w:bCs/>
          <w:sz w:val="24"/>
          <w:szCs w:val="24"/>
          <w:lang w:val="uk-UA" w:eastAsia="ru-RU"/>
        </w:rPr>
        <w:t xml:space="preserve">       законодавства України. Наглядова рада може прийняти рішення про збільшення </w:t>
      </w:r>
      <w:r w:rsidRPr="001C6D2E">
        <w:rPr>
          <w:bCs/>
          <w:sz w:val="24"/>
          <w:szCs w:val="24"/>
          <w:lang w:val="uk-UA" w:eastAsia="ru-RU"/>
        </w:rPr>
        <w:lastRenderedPageBreak/>
        <w:t>розміру компенсації при звільненні.</w:t>
      </w: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Винагорода Директору Товариства виплачується у національній валюті України шляхом безготівкового перерахування коштів на його поточні/карткові рахунки.</w:t>
      </w: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Під час здійснення виплат винагороди у відповідності до чинного законодавства України утримуються з цих виплат всі податки та обов’язкові збори до бюджету.</w:t>
      </w:r>
    </w:p>
    <w:p w:rsidR="002D5E5E" w:rsidRPr="001C6D2E" w:rsidRDefault="002D5E5E" w:rsidP="002D5E5E">
      <w:pPr>
        <w:pStyle w:val="20"/>
        <w:tabs>
          <w:tab w:val="left" w:pos="1134"/>
        </w:tabs>
        <w:spacing w:after="100" w:line="240" w:lineRule="auto"/>
        <w:ind w:left="927"/>
        <w:jc w:val="both"/>
        <w:rPr>
          <w:bCs/>
          <w:sz w:val="24"/>
          <w:szCs w:val="24"/>
          <w:lang w:val="uk-UA" w:eastAsia="ru-RU"/>
        </w:rPr>
      </w:pPr>
    </w:p>
    <w:p w:rsidR="002D5E5E" w:rsidRDefault="002D5E5E" w:rsidP="002D5E5E">
      <w:pPr>
        <w:pStyle w:val="20"/>
        <w:numPr>
          <w:ilvl w:val="0"/>
          <w:numId w:val="1"/>
        </w:numPr>
        <w:tabs>
          <w:tab w:val="left" w:pos="1134"/>
        </w:tabs>
        <w:spacing w:after="100" w:line="240" w:lineRule="auto"/>
        <w:jc w:val="both"/>
        <w:rPr>
          <w:bCs/>
          <w:sz w:val="24"/>
          <w:szCs w:val="24"/>
          <w:lang w:val="uk-UA" w:eastAsia="ru-RU"/>
        </w:rPr>
      </w:pPr>
      <w:r w:rsidRPr="001C6D2E">
        <w:rPr>
          <w:bCs/>
          <w:sz w:val="24"/>
          <w:szCs w:val="24"/>
          <w:lang w:val="uk-UA" w:eastAsia="ru-RU"/>
        </w:rPr>
        <w:t>Звіт про винагороду.</w:t>
      </w:r>
    </w:p>
    <w:p w:rsidR="0001346B" w:rsidRPr="001C6D2E" w:rsidRDefault="0001346B" w:rsidP="0001346B">
      <w:pPr>
        <w:pStyle w:val="20"/>
        <w:tabs>
          <w:tab w:val="left" w:pos="1134"/>
        </w:tabs>
        <w:spacing w:after="100" w:line="240" w:lineRule="auto"/>
        <w:ind w:left="432" w:firstLine="0"/>
        <w:jc w:val="both"/>
        <w:rPr>
          <w:bCs/>
          <w:sz w:val="24"/>
          <w:szCs w:val="24"/>
          <w:lang w:val="uk-UA" w:eastAsia="ru-RU"/>
        </w:rPr>
      </w:pP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За результатами кожного фінансового року Товариства складається звіт про винагороду голови Виконавчого органу, який виноситься для затвердження Наглядової ради Товариства.</w:t>
      </w: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Вимоги до змісту звіту про винагороду Виконавчого органу Товариства визначаються нормативно-правовими актами Національної комісії з цінних паперів та фондового ринку та законодавством України.</w:t>
      </w: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Звіт про винагороду Виконавчого органу має містити інформацію щодо винагороди, яка була отримана Директором (в тому числі колишнім) за звітній фінансовий рік, а також щодо особливостей застосовування Товариством політики винагороди у попередньому фінансовому році.</w:t>
      </w:r>
    </w:p>
    <w:p w:rsidR="002D5E5E" w:rsidRPr="001C6D2E" w:rsidRDefault="002D5E5E" w:rsidP="002D5E5E">
      <w:pPr>
        <w:pStyle w:val="20"/>
        <w:tabs>
          <w:tab w:val="left" w:pos="1134"/>
        </w:tabs>
        <w:spacing w:after="100" w:line="240" w:lineRule="auto"/>
        <w:ind w:firstLine="0"/>
        <w:jc w:val="both"/>
        <w:rPr>
          <w:bCs/>
          <w:sz w:val="24"/>
          <w:szCs w:val="24"/>
          <w:lang w:val="uk-UA" w:eastAsia="ru-RU"/>
        </w:rPr>
      </w:pPr>
    </w:p>
    <w:p w:rsidR="002D5E5E" w:rsidRDefault="002D5E5E" w:rsidP="002D5E5E">
      <w:pPr>
        <w:pStyle w:val="20"/>
        <w:numPr>
          <w:ilvl w:val="0"/>
          <w:numId w:val="1"/>
        </w:numPr>
        <w:tabs>
          <w:tab w:val="left" w:pos="1134"/>
        </w:tabs>
        <w:spacing w:after="100" w:line="240" w:lineRule="auto"/>
        <w:jc w:val="both"/>
        <w:rPr>
          <w:bCs/>
          <w:sz w:val="24"/>
          <w:szCs w:val="24"/>
          <w:lang w:val="uk-UA" w:eastAsia="ru-RU"/>
        </w:rPr>
      </w:pPr>
      <w:r w:rsidRPr="001C6D2E">
        <w:rPr>
          <w:bCs/>
          <w:sz w:val="24"/>
          <w:szCs w:val="24"/>
          <w:lang w:val="uk-UA" w:eastAsia="ru-RU"/>
        </w:rPr>
        <w:t>Прикінцеві положення.</w:t>
      </w:r>
    </w:p>
    <w:p w:rsidR="0001346B" w:rsidRPr="001C6D2E" w:rsidRDefault="0001346B" w:rsidP="0001346B">
      <w:pPr>
        <w:pStyle w:val="20"/>
        <w:tabs>
          <w:tab w:val="left" w:pos="1134"/>
        </w:tabs>
        <w:spacing w:after="100" w:line="240" w:lineRule="auto"/>
        <w:ind w:left="432" w:firstLine="0"/>
        <w:jc w:val="both"/>
        <w:rPr>
          <w:bCs/>
          <w:sz w:val="24"/>
          <w:szCs w:val="24"/>
          <w:lang w:val="uk-UA" w:eastAsia="ru-RU"/>
        </w:rPr>
      </w:pP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Це Положення набуває чинності з дати його затвердження Наглядовою      радою Товариства.</w:t>
      </w: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Наглядова рада щорічно обов’язково включає до порядку денного питання щодо доцільності внесення змін до Положення про винагороду членів Виконавчого органу Товариства.</w:t>
      </w: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Зміни та доповнення до цього Положення затверджуються Наглядовою радою Товариства. У разі внесення змін до цього Положення акціонерам Товариства надається опис змін до політики винагороди, що пропонуються, порівняно з попереднім роком (періодом).</w:t>
      </w: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У випадку затвердження нової редакції цього Положення дія його попередньої редакції припиняється з дати набрання чинності нової редакції Положення.</w:t>
      </w:r>
    </w:p>
    <w:p w:rsidR="002D5E5E" w:rsidRPr="001C6D2E" w:rsidRDefault="002D5E5E" w:rsidP="002D5E5E">
      <w:pPr>
        <w:pStyle w:val="20"/>
        <w:numPr>
          <w:ilvl w:val="1"/>
          <w:numId w:val="1"/>
        </w:numPr>
        <w:tabs>
          <w:tab w:val="left" w:pos="1134"/>
        </w:tabs>
        <w:spacing w:after="100" w:line="240" w:lineRule="auto"/>
        <w:jc w:val="both"/>
        <w:rPr>
          <w:bCs/>
          <w:sz w:val="24"/>
          <w:szCs w:val="24"/>
          <w:lang w:val="uk-UA" w:eastAsia="ru-RU"/>
        </w:rPr>
      </w:pPr>
      <w:r w:rsidRPr="001C6D2E">
        <w:rPr>
          <w:bCs/>
          <w:sz w:val="24"/>
          <w:szCs w:val="24"/>
          <w:lang w:val="uk-UA" w:eastAsia="ru-RU"/>
        </w:rPr>
        <w:t>У випадку невідповідності будь-якої частини цього Положення чинному законодавству України, нормативно-правовим актам Національної Комісії з цінних паперів та фондового ринку або Статуту Товариства це Положення діє лише в тій частині, що не суперечить чинному законодавству України, нормативно-правовим актам Національної комісії з цінних паперів та фондового ринку та Статуту Товариства.</w:t>
      </w:r>
    </w:p>
    <w:p w:rsidR="002D5E5E" w:rsidRPr="001C6D2E" w:rsidRDefault="002D5E5E" w:rsidP="002D5E5E">
      <w:pPr>
        <w:rPr>
          <w:rFonts w:ascii="Times New Roman" w:hAnsi="Times New Roman" w:cs="Times New Roman"/>
          <w:sz w:val="24"/>
          <w:szCs w:val="24"/>
          <w:lang w:val="uk-UA"/>
        </w:rPr>
      </w:pPr>
    </w:p>
    <w:p w:rsidR="002D5E5E" w:rsidRPr="001C6D2E" w:rsidRDefault="002D5E5E" w:rsidP="002D5E5E">
      <w:pPr>
        <w:rPr>
          <w:rFonts w:ascii="Times New Roman" w:hAnsi="Times New Roman" w:cs="Times New Roman"/>
          <w:sz w:val="24"/>
          <w:szCs w:val="24"/>
          <w:lang w:val="uk-UA"/>
        </w:rPr>
      </w:pPr>
    </w:p>
    <w:p w:rsidR="002D5E5E" w:rsidRPr="001C6D2E" w:rsidRDefault="002D5E5E" w:rsidP="002D5E5E">
      <w:pPr>
        <w:rPr>
          <w:rFonts w:ascii="Times New Roman" w:hAnsi="Times New Roman" w:cs="Times New Roman"/>
          <w:sz w:val="24"/>
          <w:szCs w:val="24"/>
          <w:lang w:val="uk-UA"/>
        </w:rPr>
      </w:pPr>
      <w:r w:rsidRPr="001C6D2E">
        <w:rPr>
          <w:rFonts w:ascii="Times New Roman" w:hAnsi="Times New Roman" w:cs="Times New Roman"/>
          <w:sz w:val="24"/>
          <w:szCs w:val="24"/>
          <w:lang w:val="uk-UA"/>
        </w:rPr>
        <w:t xml:space="preserve">              </w:t>
      </w:r>
      <w:r w:rsidR="00DF783B" w:rsidRPr="001C6D2E">
        <w:rPr>
          <w:rFonts w:ascii="Times New Roman" w:hAnsi="Times New Roman" w:cs="Times New Roman"/>
          <w:sz w:val="24"/>
          <w:szCs w:val="24"/>
          <w:lang w:val="uk-UA"/>
        </w:rPr>
        <w:t>Голова Н</w:t>
      </w:r>
      <w:r w:rsidRPr="001C6D2E">
        <w:rPr>
          <w:rFonts w:ascii="Times New Roman" w:hAnsi="Times New Roman" w:cs="Times New Roman"/>
          <w:sz w:val="24"/>
          <w:szCs w:val="24"/>
          <w:lang w:val="uk-UA"/>
        </w:rPr>
        <w:t xml:space="preserve">аглядової ради        ____________       </w:t>
      </w:r>
      <w:proofErr w:type="spellStart"/>
      <w:r w:rsidRPr="001C6D2E">
        <w:rPr>
          <w:rFonts w:ascii="Times New Roman" w:hAnsi="Times New Roman" w:cs="Times New Roman"/>
          <w:sz w:val="24"/>
          <w:szCs w:val="24"/>
          <w:lang w:val="uk-UA"/>
        </w:rPr>
        <w:t>Черніченко</w:t>
      </w:r>
      <w:proofErr w:type="spellEnd"/>
      <w:r w:rsidRPr="001C6D2E">
        <w:rPr>
          <w:rFonts w:ascii="Times New Roman" w:hAnsi="Times New Roman" w:cs="Times New Roman"/>
          <w:sz w:val="24"/>
          <w:szCs w:val="24"/>
          <w:lang w:val="uk-UA"/>
        </w:rPr>
        <w:t xml:space="preserve"> О.Г.</w:t>
      </w:r>
    </w:p>
    <w:p w:rsidR="004560F5" w:rsidRDefault="004560F5">
      <w:pPr>
        <w:rPr>
          <w:rFonts w:ascii="Times New Roman" w:hAnsi="Times New Roman" w:cs="Times New Roman"/>
          <w:sz w:val="24"/>
          <w:szCs w:val="24"/>
          <w:lang w:val="uk-UA"/>
        </w:rPr>
      </w:pPr>
    </w:p>
    <w:p w:rsidR="003B7D7F" w:rsidRDefault="003B7D7F">
      <w:pPr>
        <w:rPr>
          <w:rFonts w:ascii="Times New Roman" w:hAnsi="Times New Roman" w:cs="Times New Roman"/>
          <w:sz w:val="24"/>
          <w:szCs w:val="24"/>
          <w:lang w:val="uk-UA"/>
        </w:rPr>
      </w:pPr>
      <w:bookmarkStart w:id="0" w:name="_GoBack"/>
      <w:bookmarkEnd w:id="0"/>
    </w:p>
    <w:sectPr w:rsidR="003B7D7F">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2F2" w:rsidRDefault="00DC32F2" w:rsidP="001C6D2E">
      <w:pPr>
        <w:spacing w:after="0" w:line="240" w:lineRule="auto"/>
      </w:pPr>
      <w:r>
        <w:separator/>
      </w:r>
    </w:p>
  </w:endnote>
  <w:endnote w:type="continuationSeparator" w:id="0">
    <w:p w:rsidR="00DC32F2" w:rsidRDefault="00DC32F2" w:rsidP="001C6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2F2" w:rsidRDefault="00DC32F2" w:rsidP="001C6D2E">
      <w:pPr>
        <w:spacing w:after="0" w:line="240" w:lineRule="auto"/>
      </w:pPr>
      <w:r>
        <w:separator/>
      </w:r>
    </w:p>
  </w:footnote>
  <w:footnote w:type="continuationSeparator" w:id="0">
    <w:p w:rsidR="00DC32F2" w:rsidRDefault="00DC32F2" w:rsidP="001C6D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2914572"/>
      <w:docPartObj>
        <w:docPartGallery w:val="Page Numbers (Top of Page)"/>
        <w:docPartUnique/>
      </w:docPartObj>
    </w:sdtPr>
    <w:sdtEndPr/>
    <w:sdtContent>
      <w:p w:rsidR="003B7D7F" w:rsidRDefault="003B7D7F">
        <w:pPr>
          <w:pStyle w:val="a4"/>
        </w:pPr>
        <w:r>
          <w:fldChar w:fldCharType="begin"/>
        </w:r>
        <w:r>
          <w:instrText>PAGE   \* MERGEFORMAT</w:instrText>
        </w:r>
        <w:r>
          <w:fldChar w:fldCharType="separate"/>
        </w:r>
        <w:r w:rsidR="00CD7E41">
          <w:rPr>
            <w:noProof/>
          </w:rPr>
          <w:t>3</w:t>
        </w:r>
        <w:r>
          <w:fldChar w:fldCharType="end"/>
        </w:r>
      </w:p>
    </w:sdtContent>
  </w:sdt>
  <w:p w:rsidR="003B7D7F" w:rsidRDefault="003B7D7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E00CB3"/>
    <w:multiLevelType w:val="hybridMultilevel"/>
    <w:tmpl w:val="1884FAC6"/>
    <w:lvl w:ilvl="0" w:tplc="C69E49DE">
      <w:start w:val="2"/>
      <w:numFmt w:val="decimal"/>
      <w:lvlText w:val="%1)"/>
      <w:lvlJc w:val="left"/>
      <w:pPr>
        <w:ind w:left="900" w:hanging="360"/>
      </w:pPr>
      <w:rPr>
        <w:rFonts w:cs="Times New Roman" w:hint="default"/>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abstractNum w:abstractNumId="1" w15:restartNumberingAfterBreak="0">
    <w:nsid w:val="59C5309A"/>
    <w:multiLevelType w:val="multilevel"/>
    <w:tmpl w:val="81D675F4"/>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E5E"/>
    <w:rsid w:val="0001346B"/>
    <w:rsid w:val="00075369"/>
    <w:rsid w:val="00111818"/>
    <w:rsid w:val="00132521"/>
    <w:rsid w:val="001C5EFB"/>
    <w:rsid w:val="001C6D2E"/>
    <w:rsid w:val="002D5E5E"/>
    <w:rsid w:val="003B7D7F"/>
    <w:rsid w:val="004560F5"/>
    <w:rsid w:val="005B6ED3"/>
    <w:rsid w:val="009E6EEC"/>
    <w:rsid w:val="009F68FE"/>
    <w:rsid w:val="00AC3F1E"/>
    <w:rsid w:val="00BF7CA7"/>
    <w:rsid w:val="00C82041"/>
    <w:rsid w:val="00CD7E41"/>
    <w:rsid w:val="00DC32F2"/>
    <w:rsid w:val="00DF783B"/>
    <w:rsid w:val="00E74F08"/>
    <w:rsid w:val="00EC1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AC770F-BC0D-4811-95C2-BAFA90F1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E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rsid w:val="002D5E5E"/>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rsid w:val="002D5E5E"/>
    <w:pPr>
      <w:widowControl w:val="0"/>
      <w:shd w:val="clear" w:color="auto" w:fill="FFFFFF"/>
      <w:spacing w:before="60" w:after="360" w:line="0" w:lineRule="atLeast"/>
      <w:ind w:hanging="740"/>
      <w:jc w:val="center"/>
    </w:pPr>
    <w:rPr>
      <w:rFonts w:ascii="Times New Roman" w:eastAsia="Times New Roman" w:hAnsi="Times New Roman" w:cs="Times New Roman"/>
      <w:sz w:val="21"/>
      <w:szCs w:val="21"/>
    </w:rPr>
  </w:style>
  <w:style w:type="paragraph" w:styleId="a3">
    <w:name w:val="Normal (Web)"/>
    <w:basedOn w:val="a"/>
    <w:uiPriority w:val="99"/>
    <w:unhideWhenUsed/>
    <w:rsid w:val="002D5E5E"/>
    <w:rPr>
      <w:rFonts w:ascii="Times New Roman" w:hAnsi="Times New Roman" w:cs="Times New Roman"/>
      <w:sz w:val="24"/>
      <w:szCs w:val="24"/>
    </w:rPr>
  </w:style>
  <w:style w:type="paragraph" w:styleId="a4">
    <w:name w:val="header"/>
    <w:basedOn w:val="a"/>
    <w:link w:val="a5"/>
    <w:uiPriority w:val="99"/>
    <w:unhideWhenUsed/>
    <w:rsid w:val="001C6D2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C6D2E"/>
  </w:style>
  <w:style w:type="paragraph" w:styleId="a6">
    <w:name w:val="footer"/>
    <w:basedOn w:val="a"/>
    <w:link w:val="a7"/>
    <w:uiPriority w:val="99"/>
    <w:unhideWhenUsed/>
    <w:rsid w:val="001C6D2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C6D2E"/>
  </w:style>
  <w:style w:type="paragraph" w:styleId="a8">
    <w:name w:val="Balloon Text"/>
    <w:basedOn w:val="a"/>
    <w:link w:val="a9"/>
    <w:uiPriority w:val="99"/>
    <w:semiHidden/>
    <w:unhideWhenUsed/>
    <w:rsid w:val="003B7D7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B7D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12760</TotalTime>
  <Pages>3</Pages>
  <Words>1072</Words>
  <Characters>6111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vitza@mail.ru</dc:creator>
  <cp:keywords/>
  <dc:description/>
  <cp:lastModifiedBy>vitza@mail.ru</cp:lastModifiedBy>
  <cp:revision>13</cp:revision>
  <cp:lastPrinted>2024-03-06T13:28:00Z</cp:lastPrinted>
  <dcterms:created xsi:type="dcterms:W3CDTF">2024-01-08T15:23:00Z</dcterms:created>
  <dcterms:modified xsi:type="dcterms:W3CDTF">2025-08-26T18:07:00Z</dcterms:modified>
</cp:coreProperties>
</file>