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23" w:rsidRPr="004B6023" w:rsidRDefault="004B6023" w:rsidP="004B6023">
      <w:pPr>
        <w:jc w:val="center"/>
        <w:rPr>
          <w:b/>
          <w:sz w:val="28"/>
          <w:szCs w:val="28"/>
          <w:lang w:val="uk-UA"/>
        </w:rPr>
      </w:pPr>
      <w:r w:rsidRPr="004B6023">
        <w:rPr>
          <w:rStyle w:val="rvts0"/>
          <w:rFonts w:eastAsia="Calibri"/>
          <w:b/>
          <w:sz w:val="28"/>
          <w:szCs w:val="28"/>
          <w:lang w:val="uk-UA"/>
        </w:rPr>
        <w:t xml:space="preserve">Проекти </w:t>
      </w:r>
      <w:r w:rsidRPr="004B6023">
        <w:rPr>
          <w:rStyle w:val="rvts0"/>
          <w:rFonts w:eastAsia="Calibri"/>
          <w:b/>
          <w:sz w:val="28"/>
          <w:szCs w:val="28"/>
          <w:lang w:val="uk-UA"/>
        </w:rPr>
        <w:t xml:space="preserve">рішень з питань, включених до </w:t>
      </w:r>
      <w:r>
        <w:rPr>
          <w:rStyle w:val="rvts0"/>
          <w:rFonts w:eastAsia="Calibri"/>
          <w:b/>
          <w:sz w:val="28"/>
          <w:szCs w:val="28"/>
          <w:lang w:val="uk-UA"/>
        </w:rPr>
        <w:t xml:space="preserve">проекту </w:t>
      </w:r>
      <w:r w:rsidRPr="004B6023">
        <w:rPr>
          <w:rStyle w:val="rvts0"/>
          <w:rFonts w:eastAsia="Calibri"/>
          <w:b/>
          <w:sz w:val="28"/>
          <w:szCs w:val="28"/>
          <w:lang w:val="uk-UA"/>
        </w:rPr>
        <w:t xml:space="preserve">порядку денного </w:t>
      </w:r>
      <w:r w:rsidRPr="004B6023">
        <w:rPr>
          <w:b/>
          <w:sz w:val="28"/>
          <w:szCs w:val="28"/>
          <w:lang w:val="uk-UA"/>
        </w:rPr>
        <w:t>позачергових загальних зборів акціонерів ВАТ «ЕКОГАЗСЕРВІС», які відбудуться  28 травня 2021 року</w:t>
      </w:r>
    </w:p>
    <w:p w:rsidR="004B6023" w:rsidRPr="004B6023" w:rsidRDefault="004B6023" w:rsidP="00EE6DE9">
      <w:pPr>
        <w:pStyle w:val="a3"/>
        <w:tabs>
          <w:tab w:val="left" w:pos="5387"/>
        </w:tabs>
        <w:ind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204"/>
        <w:gridCol w:w="6519"/>
      </w:tblGrid>
      <w:tr w:rsidR="00EE6DE9" w:rsidRPr="004B6023" w:rsidTr="004B6023">
        <w:tc>
          <w:tcPr>
            <w:tcW w:w="898" w:type="dxa"/>
          </w:tcPr>
          <w:p w:rsidR="00EE6DE9" w:rsidRPr="004B6023" w:rsidRDefault="00EE6DE9" w:rsidP="00996A29">
            <w:pPr>
              <w:pStyle w:val="a3"/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Питання проекту порядку денного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Проекти рішень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 обрання голови та секретаря, лічильної комісії зборів та затвердження регламенту зборів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jc w:val="both"/>
              <w:rPr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 xml:space="preserve">1. Секретарем зборів, який відповідатиме за ведення протоколу, обрати Семенюк Тетяну Анатоліївну,  а головою зборів — </w:t>
            </w:r>
            <w:r w:rsidR="00C62A23" w:rsidRPr="004B6023">
              <w:rPr>
                <w:sz w:val="28"/>
                <w:szCs w:val="28"/>
                <w:lang w:val="uk-UA"/>
              </w:rPr>
              <w:t xml:space="preserve">Павліка Віктора Андрійовича. Уповноважити Голову зборів Павліка Віктора Андрійовича </w:t>
            </w:r>
            <w:r w:rsidRPr="004B6023">
              <w:rPr>
                <w:sz w:val="28"/>
                <w:szCs w:val="28"/>
                <w:lang w:val="uk-UA"/>
              </w:rPr>
              <w:t xml:space="preserve"> та секретаря зборів Семенюк Тетяну Анатоліївну підписати протокол загальних зборів.</w:t>
            </w:r>
          </w:p>
          <w:p w:rsidR="00EE6DE9" w:rsidRPr="004B6023" w:rsidRDefault="00EE6DE9" w:rsidP="00996A29">
            <w:pPr>
              <w:ind w:right="6"/>
              <w:jc w:val="both"/>
              <w:rPr>
                <w:b/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>2. Обрати лічильну комісію в такому складі: Голова лічильної комісії – Сюнякова Каміла Ренатівна, члени лічильної комісії – Кострубіцький Василь Васильович, Кострубіцький Микола Григорович.  Повноваження лічильної комісії закінчуються після закінчення загальних зборів та складення протоколу про підсумки голосування з кожного питання порядку денного загальних зборів.</w:t>
            </w:r>
          </w:p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eastAsia="Times New Roman" w:hAnsi="Times New Roman"/>
                <w:sz w:val="28"/>
                <w:szCs w:val="28"/>
              </w:rPr>
              <w:t>3. Затвердити такий регламент зборів: голосування за принципом одна акція  -  один голос, шляхом пред’явлення бюлетеня для голосування, на доповіді - до 10 хвилин, на виступи - до 5 хвилин.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 xml:space="preserve">Про відміну рішень позачергових загальних зборів акціонерів </w:t>
            </w:r>
            <w:r w:rsidRPr="004B6023">
              <w:rPr>
                <w:rFonts w:ascii="Times New Roman" w:hAnsi="Times New Roman"/>
                <w:bCs/>
                <w:sz w:val="28"/>
                <w:szCs w:val="28"/>
              </w:rPr>
              <w:t>Відкритого акціонерного товариства «Васильківська фірма «Екогазсервіс» від 15 грудня 2014 року</w:t>
            </w:r>
          </w:p>
        </w:tc>
        <w:tc>
          <w:tcPr>
            <w:tcW w:w="6519" w:type="dxa"/>
          </w:tcPr>
          <w:p w:rsidR="00EE6DE9" w:rsidRPr="004B6023" w:rsidRDefault="00EE6DE9" w:rsidP="001C4B6C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sz w:val="28"/>
                <w:szCs w:val="28"/>
              </w:rPr>
              <w:t xml:space="preserve">Відмінити рішення позачергових </w:t>
            </w:r>
            <w:r w:rsidRPr="004B6023">
              <w:rPr>
                <w:bCs/>
                <w:sz w:val="28"/>
                <w:szCs w:val="28"/>
              </w:rPr>
              <w:t>загальних зборів акціонерів</w:t>
            </w:r>
            <w:r w:rsidRPr="004B6023">
              <w:rPr>
                <w:sz w:val="28"/>
                <w:szCs w:val="28"/>
              </w:rPr>
              <w:t xml:space="preserve"> Відкритого акціонерного товариства «</w:t>
            </w:r>
            <w:r w:rsidRPr="004B6023">
              <w:rPr>
                <w:bCs/>
                <w:sz w:val="28"/>
                <w:szCs w:val="28"/>
              </w:rPr>
              <w:t>Васильківська фірма «Екогазсервіс» від 15 грудня 2014 року</w:t>
            </w:r>
            <w:r w:rsidRPr="004B6023">
              <w:rPr>
                <w:sz w:val="28"/>
                <w:szCs w:val="28"/>
              </w:rPr>
              <w:t xml:space="preserve"> з питань порядку денного: «Про припинення Товариства шляхом перетворення у товариство з додатковою відповідальністю»; «Про затвердження умов та порядку перетворення»; «Про обрання комісії з припинення Товариства»; «Про затвердження оцінки та умов викупу у акціонерів Товариства, які голосували проти прийняття рішення про припинення Товариства шляхом перетворення у товариство з додатковою відповідальністю»; «Про затвердження порядку та умов обміну акцій Товариства на частки у статутному капіталі товариства правонаступника»; «Про затвердження плану перетворення</w:t>
            </w:r>
            <w:r w:rsidR="00675A97" w:rsidRPr="004B6023">
              <w:rPr>
                <w:sz w:val="28"/>
                <w:szCs w:val="28"/>
              </w:rPr>
              <w:t xml:space="preserve"> Товариства</w:t>
            </w:r>
            <w:r w:rsidRPr="004B6023">
              <w:rPr>
                <w:sz w:val="28"/>
                <w:szCs w:val="28"/>
              </w:rPr>
              <w:t>».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 xml:space="preserve">Про припинення повноважень (звільнення) комісії з </w:t>
            </w:r>
            <w:r w:rsidRPr="004B6023">
              <w:rPr>
                <w:rFonts w:ascii="Times New Roman" w:hAnsi="Times New Roman"/>
                <w:sz w:val="28"/>
                <w:szCs w:val="28"/>
              </w:rPr>
              <w:lastRenderedPageBreak/>
              <w:t>реорганізації (припинення)</w:t>
            </w:r>
          </w:p>
        </w:tc>
        <w:tc>
          <w:tcPr>
            <w:tcW w:w="6519" w:type="dxa"/>
          </w:tcPr>
          <w:p w:rsidR="00EE6DE9" w:rsidRPr="004B6023" w:rsidRDefault="003D090F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bCs/>
                <w:sz w:val="28"/>
                <w:szCs w:val="28"/>
              </w:rPr>
              <w:lastRenderedPageBreak/>
              <w:t>Припинити із 28</w:t>
            </w:r>
            <w:r w:rsidR="00EE6DE9" w:rsidRPr="004B6023">
              <w:rPr>
                <w:bCs/>
                <w:sz w:val="28"/>
                <w:szCs w:val="28"/>
              </w:rPr>
              <w:t xml:space="preserve">.05.2021 року повноваження (звільнити) комісії(ю) </w:t>
            </w:r>
            <w:r w:rsidR="00EE6DE9" w:rsidRPr="004B6023">
              <w:rPr>
                <w:sz w:val="28"/>
                <w:szCs w:val="28"/>
              </w:rPr>
              <w:t xml:space="preserve">з реорганізації (припинення) у складі: Голова комісії з реорганізації (припинення) – Залюбовський Микола Антонович, член комісії з </w:t>
            </w:r>
            <w:r w:rsidR="00EE6DE9" w:rsidRPr="004B6023">
              <w:rPr>
                <w:sz w:val="28"/>
                <w:szCs w:val="28"/>
              </w:rPr>
              <w:lastRenderedPageBreak/>
              <w:t>реорганізації (припинення) – Фіалко Володимир Дмитрович, член комісії з реорганізації (припинення) – Ставніченко Ніна Василівна.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rPr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>Про зміну найменування Товариства.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bCs/>
                <w:sz w:val="28"/>
                <w:szCs w:val="28"/>
              </w:rPr>
              <w:t>Змінити найменування Товариства із «Відкрите акціонерне товариство «Васильківська фірма «Екогазсервіс»» на «Акціонерне товариство «Васильківська фірма «Екогазсервіс»»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rPr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>Про зміну видів економічної діяльності Товариства.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bCs/>
                <w:sz w:val="28"/>
                <w:szCs w:val="28"/>
              </w:rPr>
              <w:t>Змінити види економічної діяльності Товариства, доповнивши їх такими видами економічної діяльності:</w:t>
            </w:r>
          </w:p>
          <w:p w:rsidR="00EE6DE9" w:rsidRPr="004B6023" w:rsidRDefault="00EE6DE9" w:rsidP="00EE6DE9">
            <w:pPr>
              <w:numPr>
                <w:ilvl w:val="0"/>
                <w:numId w:val="3"/>
              </w:numPr>
              <w:ind w:left="159" w:hanging="142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 w:rsidRPr="004B6023">
              <w:rPr>
                <w:bCs/>
                <w:kern w:val="36"/>
                <w:sz w:val="28"/>
                <w:szCs w:val="28"/>
                <w:lang w:val="uk-UA"/>
              </w:rPr>
              <w:t>35.23 (торгівля газом через місцеві (локальні) трубопроводи);</w:t>
            </w:r>
          </w:p>
          <w:p w:rsidR="00EE6DE9" w:rsidRPr="004B6023" w:rsidRDefault="00EE6DE9" w:rsidP="00EE6DE9">
            <w:pPr>
              <w:numPr>
                <w:ilvl w:val="0"/>
                <w:numId w:val="3"/>
              </w:numPr>
              <w:ind w:left="159" w:hanging="142"/>
              <w:outlineLvl w:val="0"/>
              <w:rPr>
                <w:kern w:val="36"/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>52.10 (</w:t>
            </w:r>
            <w:r w:rsidRPr="004B6023">
              <w:rPr>
                <w:kern w:val="36"/>
                <w:sz w:val="28"/>
                <w:szCs w:val="28"/>
                <w:lang w:val="uk-UA"/>
              </w:rPr>
              <w:t>складське господарство</w:t>
            </w:r>
            <w:r w:rsidRPr="004B6023">
              <w:rPr>
                <w:sz w:val="28"/>
                <w:szCs w:val="28"/>
                <w:lang w:val="uk-UA"/>
              </w:rPr>
              <w:t>);</w:t>
            </w:r>
          </w:p>
          <w:p w:rsidR="00EE6DE9" w:rsidRPr="004B6023" w:rsidRDefault="00EE6DE9" w:rsidP="00EE6DE9">
            <w:pPr>
              <w:numPr>
                <w:ilvl w:val="0"/>
                <w:numId w:val="3"/>
              </w:numPr>
              <w:ind w:left="159" w:hanging="142"/>
              <w:outlineLvl w:val="0"/>
              <w:rPr>
                <w:kern w:val="36"/>
                <w:sz w:val="28"/>
                <w:szCs w:val="28"/>
                <w:lang w:val="uk-UA"/>
              </w:rPr>
            </w:pPr>
            <w:r w:rsidRPr="004B6023">
              <w:rPr>
                <w:bCs/>
                <w:kern w:val="36"/>
                <w:sz w:val="28"/>
                <w:szCs w:val="28"/>
                <w:lang w:val="uk-UA"/>
              </w:rPr>
              <w:t>46.71</w:t>
            </w:r>
            <w:r w:rsidRPr="004B6023">
              <w:rPr>
                <w:kern w:val="36"/>
                <w:sz w:val="28"/>
                <w:szCs w:val="28"/>
                <w:lang w:val="uk-UA"/>
              </w:rPr>
              <w:t xml:space="preserve"> (оптова торгівля твердим, рідким, газоподібним паливом і подібними продуктами);</w:t>
            </w:r>
          </w:p>
          <w:p w:rsidR="00EE6DE9" w:rsidRPr="004B6023" w:rsidRDefault="00EE6DE9" w:rsidP="00EE6DE9">
            <w:pPr>
              <w:numPr>
                <w:ilvl w:val="0"/>
                <w:numId w:val="3"/>
              </w:numPr>
              <w:ind w:left="159" w:hanging="142"/>
              <w:outlineLvl w:val="0"/>
              <w:rPr>
                <w:kern w:val="36"/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>47.78 (</w:t>
            </w:r>
            <w:r w:rsidRPr="004B6023">
              <w:rPr>
                <w:kern w:val="36"/>
                <w:sz w:val="28"/>
                <w:szCs w:val="28"/>
                <w:lang w:val="uk-UA"/>
              </w:rPr>
              <w:t>роздрібна торгівля іншими невживаними товарами в спеціалізованих магазинах);</w:t>
            </w:r>
          </w:p>
          <w:p w:rsidR="00EE6DE9" w:rsidRPr="004B6023" w:rsidRDefault="00EE6DE9" w:rsidP="00EE6DE9">
            <w:pPr>
              <w:numPr>
                <w:ilvl w:val="0"/>
                <w:numId w:val="3"/>
              </w:numPr>
              <w:ind w:left="159" w:hanging="142"/>
              <w:outlineLvl w:val="0"/>
              <w:rPr>
                <w:kern w:val="36"/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>47.99 (</w:t>
            </w:r>
            <w:r w:rsidRPr="004B6023">
              <w:rPr>
                <w:kern w:val="36"/>
                <w:sz w:val="28"/>
                <w:szCs w:val="28"/>
                <w:lang w:val="uk-UA"/>
              </w:rPr>
              <w:t>інші види роздрібної торгівлі поза магазинами).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 внесення змін до статуту Товариства та затвердження статуту Товариства у новій редакції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B6023">
              <w:rPr>
                <w:bCs/>
                <w:sz w:val="28"/>
                <w:szCs w:val="28"/>
                <w:lang w:val="uk-UA"/>
              </w:rPr>
              <w:t>В</w:t>
            </w:r>
            <w:r w:rsidRPr="004B6023">
              <w:rPr>
                <w:sz w:val="28"/>
                <w:szCs w:val="28"/>
                <w:lang w:val="uk-UA"/>
              </w:rPr>
              <w:t xml:space="preserve">нести зміни до статуту Товариства </w:t>
            </w:r>
            <w:r w:rsidRPr="004B6023">
              <w:rPr>
                <w:bCs/>
                <w:sz w:val="28"/>
                <w:szCs w:val="28"/>
                <w:lang w:val="uk-UA"/>
              </w:rPr>
              <w:t>шляхом викладення</w:t>
            </w:r>
            <w:r w:rsidRPr="004B6023">
              <w:rPr>
                <w:sz w:val="28"/>
                <w:szCs w:val="28"/>
                <w:lang w:val="uk-UA"/>
              </w:rPr>
              <w:t xml:space="preserve"> статуту Товариства у новій редакції та затвердити нову редакцію статуту Товариства. Уповноважити Голову зборів </w:t>
            </w:r>
            <w:r w:rsidR="00C62A23" w:rsidRPr="004B6023">
              <w:rPr>
                <w:sz w:val="28"/>
                <w:szCs w:val="28"/>
                <w:lang w:val="uk-UA"/>
              </w:rPr>
              <w:t>Павліка Віктора Андрійовича</w:t>
            </w:r>
            <w:r w:rsidRPr="004B6023">
              <w:rPr>
                <w:sz w:val="28"/>
                <w:szCs w:val="28"/>
                <w:lang w:val="uk-UA"/>
              </w:rPr>
              <w:t xml:space="preserve"> та секретаря зборів Семенюк Тетяну Анатоліївну підписати нову редакцію статуту Товариства.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 xml:space="preserve">Про затвердження положень про загальні збори, наглядову раду, виконавчий орган та ревізійну комісію 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B6023">
              <w:rPr>
                <w:sz w:val="28"/>
                <w:szCs w:val="28"/>
              </w:rPr>
              <w:t xml:space="preserve">Затвердити положення Товариства, а саме: положення про загальні збори, положення про наглядову раду, положення про виконавчий орган, положення про ревізійну комісію. Уповноважити Голову зборів </w:t>
            </w:r>
            <w:r w:rsidR="00C62A23" w:rsidRPr="004B6023">
              <w:rPr>
                <w:sz w:val="28"/>
                <w:szCs w:val="28"/>
              </w:rPr>
              <w:t>Павліка Віктора Андрійовича</w:t>
            </w:r>
            <w:r w:rsidRPr="004B6023">
              <w:rPr>
                <w:sz w:val="28"/>
                <w:szCs w:val="28"/>
              </w:rPr>
              <w:t xml:space="preserve"> та секретаря зборів Семенюк Тетяну Анатоліївну підписати затвердженні положення Товариства, а саме: положення про загальні збори, положення про наглядову раду, положення про виконавчий орган, положення про ревізійну комісію.</w:t>
            </w:r>
          </w:p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 xml:space="preserve">Про затвердження кодексу корпоративного управління 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B6023">
              <w:rPr>
                <w:sz w:val="28"/>
                <w:szCs w:val="28"/>
              </w:rPr>
              <w:t xml:space="preserve">Затвердити кодекс корпоративного управління. Уповноважити Голову зборів </w:t>
            </w:r>
            <w:r w:rsidR="00C62A23" w:rsidRPr="004B6023">
              <w:rPr>
                <w:sz w:val="28"/>
                <w:szCs w:val="28"/>
              </w:rPr>
              <w:t>Павліка Віктора Андрійовича</w:t>
            </w:r>
            <w:r w:rsidRPr="004B6023">
              <w:rPr>
                <w:sz w:val="28"/>
                <w:szCs w:val="28"/>
              </w:rPr>
              <w:t xml:space="preserve"> та секретаря зборів Семенюк Тетяну Анатоліївну підписати затверджений кодекс корпоративного управління.</w:t>
            </w:r>
          </w:p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 обрання членів наглядової ради Товариства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rStyle w:val="rvts0"/>
                <w:sz w:val="28"/>
                <w:szCs w:val="28"/>
              </w:rPr>
              <w:t>При кумулятивному голосуванні проект рішення не зазначається.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 затвердження умов цивільно-правових договорів, трудових договорів (контрактів), що укладатимуться з членами Наглядової ради, встановлення розміру їх винагороди, обрання особи, яка уповноважується на підписання договорів (контрактів) з членами Наглядової ради Товариства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B6023">
              <w:rPr>
                <w:sz w:val="28"/>
                <w:szCs w:val="28"/>
              </w:rPr>
              <w:t xml:space="preserve">Затвердити умови цивільно-правових договорів (цивільно-правові договори є безоплатними) з членами Наглядової ради Товариства. Уповноважити Голову </w:t>
            </w:r>
            <w:r w:rsidRPr="004B6023">
              <w:rPr>
                <w:rStyle w:val="rvts9"/>
                <w:rFonts w:ascii="Times New Roman" w:hAnsi="Times New Roman"/>
                <w:sz w:val="28"/>
                <w:szCs w:val="28"/>
              </w:rPr>
              <w:t>зборів</w:t>
            </w:r>
            <w:r w:rsidRPr="004B6023">
              <w:rPr>
                <w:sz w:val="28"/>
                <w:szCs w:val="28"/>
              </w:rPr>
              <w:t xml:space="preserve"> </w:t>
            </w:r>
            <w:r w:rsidR="00C62A23" w:rsidRPr="004B6023">
              <w:rPr>
                <w:sz w:val="28"/>
                <w:szCs w:val="28"/>
              </w:rPr>
              <w:t>Павліка Віктора Андрійовича</w:t>
            </w:r>
            <w:r w:rsidRPr="004B6023">
              <w:rPr>
                <w:sz w:val="28"/>
                <w:szCs w:val="28"/>
              </w:rPr>
              <w:t xml:space="preserve"> на підписання цивільно-правових договорів з обраними членами Наглядової ради Товариства.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 обрання членів ревізійної комісії Товариства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bCs/>
                <w:sz w:val="28"/>
                <w:szCs w:val="28"/>
              </w:rPr>
              <w:t>Обрати членів ревізійної комісії Товариства, а саме:</w:t>
            </w:r>
          </w:p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B6023">
              <w:rPr>
                <w:bCs/>
                <w:sz w:val="28"/>
                <w:szCs w:val="28"/>
              </w:rPr>
              <w:t>-</w:t>
            </w:r>
            <w:r w:rsidRPr="004B6023">
              <w:rPr>
                <w:sz w:val="28"/>
                <w:szCs w:val="28"/>
              </w:rPr>
              <w:t xml:space="preserve"> Павлік Віктор Андрійович;</w:t>
            </w:r>
          </w:p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B6023">
              <w:rPr>
                <w:sz w:val="28"/>
                <w:szCs w:val="28"/>
              </w:rPr>
              <w:t>- Гордєєва Тетяна Дмітрієвна;</w:t>
            </w:r>
          </w:p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sz w:val="28"/>
                <w:szCs w:val="28"/>
              </w:rPr>
              <w:t>- Хміль Ростислав Олегович.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 затвердження річної фінансової звітності Товариства за 2020 рік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pStyle w:val="a5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4B6023">
              <w:rPr>
                <w:sz w:val="28"/>
                <w:szCs w:val="28"/>
              </w:rPr>
              <w:t>Затвердити річну фінансову звітність Товариства за 2020 рік.</w:t>
            </w:r>
          </w:p>
        </w:tc>
      </w:tr>
      <w:tr w:rsidR="00EE6DE9" w:rsidRPr="004B6023" w:rsidTr="004B6023">
        <w:tc>
          <w:tcPr>
            <w:tcW w:w="898" w:type="dxa"/>
          </w:tcPr>
          <w:p w:rsidR="00EE6DE9" w:rsidRPr="004B6023" w:rsidRDefault="00EE6DE9" w:rsidP="00EE6DE9">
            <w:pPr>
              <w:pStyle w:val="a3"/>
              <w:numPr>
                <w:ilvl w:val="0"/>
                <w:numId w:val="2"/>
              </w:numPr>
              <w:ind w:left="3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EE6DE9" w:rsidRPr="004B6023" w:rsidRDefault="00EE6DE9" w:rsidP="00996A29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4B6023">
              <w:rPr>
                <w:rFonts w:ascii="Times New Roman" w:hAnsi="Times New Roman"/>
                <w:sz w:val="28"/>
                <w:szCs w:val="28"/>
              </w:rPr>
              <w:t>Про розподіл прибутку Товариства за 2020 рік</w:t>
            </w:r>
          </w:p>
        </w:tc>
        <w:tc>
          <w:tcPr>
            <w:tcW w:w="6519" w:type="dxa"/>
          </w:tcPr>
          <w:p w:rsidR="00EE6DE9" w:rsidRPr="004B6023" w:rsidRDefault="00EE6DE9" w:rsidP="00996A29">
            <w:pPr>
              <w:jc w:val="both"/>
              <w:rPr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>Розподілити чистий прибуток, отриманий Товариством за результатами фінансово-господарської діяльності у 2020 році у сумі 166 500,00 грн., наступним чином:</w:t>
            </w:r>
          </w:p>
          <w:p w:rsidR="00EE6DE9" w:rsidRPr="004B6023" w:rsidRDefault="00EE6DE9" w:rsidP="00996A29">
            <w:pPr>
              <w:jc w:val="both"/>
              <w:rPr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 xml:space="preserve">     -   30 000,00 грн. – направити у резервний фонд;</w:t>
            </w:r>
          </w:p>
          <w:p w:rsidR="00EE6DE9" w:rsidRPr="004B6023" w:rsidRDefault="00EE6DE9" w:rsidP="00996A2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B6023">
              <w:rPr>
                <w:sz w:val="28"/>
                <w:szCs w:val="28"/>
                <w:lang w:val="uk-UA"/>
              </w:rPr>
              <w:t xml:space="preserve">     -   136 500,00 грн.</w:t>
            </w:r>
            <w:r w:rsidRPr="004B6023">
              <w:rPr>
                <w:bCs/>
                <w:i/>
                <w:iCs/>
                <w:sz w:val="28"/>
                <w:szCs w:val="28"/>
                <w:lang w:val="uk-UA"/>
              </w:rPr>
              <w:t xml:space="preserve"> –</w:t>
            </w:r>
            <w:r w:rsidRPr="004B6023">
              <w:rPr>
                <w:sz w:val="28"/>
                <w:szCs w:val="28"/>
                <w:lang w:val="uk-UA"/>
              </w:rPr>
              <w:t xml:space="preserve"> нерозподілений прибуток.    </w:t>
            </w:r>
          </w:p>
        </w:tc>
      </w:tr>
    </w:tbl>
    <w:p w:rsidR="00EE6DE9" w:rsidRPr="004B6023" w:rsidRDefault="00EE6DE9" w:rsidP="00EE6DE9">
      <w:pPr>
        <w:ind w:firstLine="567"/>
        <w:jc w:val="both"/>
        <w:rPr>
          <w:sz w:val="28"/>
          <w:szCs w:val="28"/>
          <w:lang w:val="uk-UA"/>
        </w:rPr>
      </w:pPr>
    </w:p>
    <w:p w:rsidR="00550982" w:rsidRDefault="00550982" w:rsidP="00EE6DE9">
      <w:pPr>
        <w:pStyle w:val="30"/>
        <w:shd w:val="clear" w:color="auto" w:fill="auto"/>
        <w:tabs>
          <w:tab w:val="left" w:pos="6859"/>
        </w:tabs>
        <w:spacing w:line="250" w:lineRule="exact"/>
        <w:ind w:right="-1" w:firstLine="0"/>
        <w:jc w:val="both"/>
        <w:rPr>
          <w:rFonts w:cs="Times New Roman"/>
          <w:sz w:val="28"/>
          <w:szCs w:val="28"/>
          <w:lang w:val="uk-UA" w:eastAsia="uk-UA" w:bidi="uk-UA"/>
        </w:rPr>
      </w:pPr>
    </w:p>
    <w:p w:rsidR="00EE6DE9" w:rsidRPr="004B6023" w:rsidRDefault="00EE6DE9" w:rsidP="00EE6DE9">
      <w:pPr>
        <w:pStyle w:val="30"/>
        <w:shd w:val="clear" w:color="auto" w:fill="auto"/>
        <w:tabs>
          <w:tab w:val="left" w:pos="6859"/>
        </w:tabs>
        <w:spacing w:line="250" w:lineRule="exact"/>
        <w:ind w:right="-1" w:firstLine="0"/>
        <w:jc w:val="both"/>
        <w:rPr>
          <w:rFonts w:cs="Times New Roman"/>
          <w:sz w:val="28"/>
          <w:szCs w:val="28"/>
          <w:lang w:val="uk-UA" w:eastAsia="uk-UA" w:bidi="uk-UA"/>
        </w:rPr>
      </w:pPr>
      <w:bookmarkStart w:id="0" w:name="_GoBack"/>
      <w:bookmarkEnd w:id="0"/>
      <w:r w:rsidRPr="004B6023">
        <w:rPr>
          <w:rFonts w:cs="Times New Roman"/>
          <w:sz w:val="28"/>
          <w:szCs w:val="28"/>
          <w:lang w:val="uk-UA" w:eastAsia="uk-UA" w:bidi="uk-UA"/>
        </w:rPr>
        <w:t xml:space="preserve">Телефони для довідок: </w:t>
      </w:r>
      <w:r w:rsidRPr="004B6023">
        <w:rPr>
          <w:rFonts w:cs="Times New Roman"/>
          <w:sz w:val="28"/>
          <w:szCs w:val="28"/>
          <w:lang w:val="uk-UA"/>
        </w:rPr>
        <w:t>(04571) 4-14-07</w:t>
      </w:r>
      <w:r w:rsidRPr="004B6023">
        <w:rPr>
          <w:rFonts w:cs="Times New Roman"/>
          <w:sz w:val="28"/>
          <w:szCs w:val="28"/>
          <w:lang w:val="uk-UA" w:eastAsia="uk-UA" w:bidi="uk-UA"/>
        </w:rPr>
        <w:tab/>
      </w:r>
    </w:p>
    <w:p w:rsidR="00E35811" w:rsidRPr="004B6023" w:rsidRDefault="00EE6DE9" w:rsidP="006C4352">
      <w:pPr>
        <w:pStyle w:val="30"/>
        <w:shd w:val="clear" w:color="auto" w:fill="auto"/>
        <w:tabs>
          <w:tab w:val="left" w:pos="6859"/>
        </w:tabs>
        <w:spacing w:line="250" w:lineRule="exact"/>
        <w:ind w:right="-1" w:firstLine="0"/>
        <w:jc w:val="both"/>
        <w:rPr>
          <w:sz w:val="28"/>
          <w:szCs w:val="28"/>
          <w:lang w:val="uk-UA"/>
        </w:rPr>
      </w:pPr>
      <w:r w:rsidRPr="004B6023">
        <w:rPr>
          <w:rFonts w:cs="Times New Roman"/>
          <w:sz w:val="28"/>
          <w:szCs w:val="28"/>
          <w:lang w:val="uk-UA" w:eastAsia="uk-UA" w:bidi="uk-UA"/>
        </w:rPr>
        <w:t>Комісія з реорганізації (припинення) ВАТ «ЕКОГАЗСЕРВІС»</w:t>
      </w:r>
    </w:p>
    <w:sectPr w:rsidR="00E35811" w:rsidRPr="004B6023" w:rsidSect="00D140DD">
      <w:pgSz w:w="12240" w:h="15840"/>
      <w:pgMar w:top="567" w:right="75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F8D"/>
    <w:multiLevelType w:val="hybridMultilevel"/>
    <w:tmpl w:val="F67CA5B4"/>
    <w:lvl w:ilvl="0" w:tplc="3098C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728F"/>
    <w:multiLevelType w:val="hybridMultilevel"/>
    <w:tmpl w:val="E1AAC636"/>
    <w:lvl w:ilvl="0" w:tplc="F1CC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2A3F53"/>
    <w:multiLevelType w:val="hybridMultilevel"/>
    <w:tmpl w:val="0E10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E9"/>
    <w:rsid w:val="001C4B6C"/>
    <w:rsid w:val="001D0478"/>
    <w:rsid w:val="002B526F"/>
    <w:rsid w:val="003812CC"/>
    <w:rsid w:val="003D090F"/>
    <w:rsid w:val="004B6023"/>
    <w:rsid w:val="00550982"/>
    <w:rsid w:val="005557FF"/>
    <w:rsid w:val="00570D9F"/>
    <w:rsid w:val="00675A97"/>
    <w:rsid w:val="006C4352"/>
    <w:rsid w:val="00BB324B"/>
    <w:rsid w:val="00C1451D"/>
    <w:rsid w:val="00C62A23"/>
    <w:rsid w:val="00E35811"/>
    <w:rsid w:val="00E50C87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456C"/>
  <w15:chartTrackingRefBased/>
  <w15:docId w15:val="{67236110-C5CF-4BFA-973D-9757E2D8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DE9"/>
    <w:rPr>
      <w:rFonts w:ascii="Courier New" w:eastAsia="Calibri" w:hAnsi="Courier New"/>
      <w:sz w:val="20"/>
      <w:lang w:val="uk-UA"/>
    </w:rPr>
  </w:style>
  <w:style w:type="character" w:customStyle="1" w:styleId="a4">
    <w:name w:val="Текст Знак"/>
    <w:basedOn w:val="a0"/>
    <w:link w:val="a3"/>
    <w:rsid w:val="00EE6DE9"/>
    <w:rPr>
      <w:rFonts w:ascii="Courier New" w:eastAsia="Calibri" w:hAnsi="Courier New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EE6DE9"/>
    <w:pPr>
      <w:jc w:val="center"/>
    </w:pPr>
    <w:rPr>
      <w:sz w:val="32"/>
      <w:szCs w:val="24"/>
      <w:lang w:val="uk-UA" w:eastAsia="x-none"/>
    </w:rPr>
  </w:style>
  <w:style w:type="character" w:customStyle="1" w:styleId="a6">
    <w:name w:val="Заголовок Знак"/>
    <w:basedOn w:val="a0"/>
    <w:link w:val="a5"/>
    <w:rsid w:val="00EE6DE9"/>
    <w:rPr>
      <w:rFonts w:ascii="Times New Roman" w:eastAsia="Times New Roman" w:hAnsi="Times New Roman" w:cs="Times New Roman"/>
      <w:sz w:val="32"/>
      <w:szCs w:val="24"/>
      <w:lang w:val="uk-UA" w:eastAsia="x-none"/>
    </w:rPr>
  </w:style>
  <w:style w:type="character" w:styleId="a7">
    <w:name w:val="Strong"/>
    <w:qFormat/>
    <w:rsid w:val="00EE6DE9"/>
    <w:rPr>
      <w:b/>
      <w:bCs/>
    </w:rPr>
  </w:style>
  <w:style w:type="character" w:customStyle="1" w:styleId="3">
    <w:name w:val="Основной текст (3)_"/>
    <w:link w:val="30"/>
    <w:rsid w:val="00EE6DE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6DE9"/>
    <w:pPr>
      <w:widowControl w:val="0"/>
      <w:shd w:val="clear" w:color="auto" w:fill="FFFFFF"/>
      <w:spacing w:line="254" w:lineRule="exact"/>
      <w:ind w:hanging="380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rvts0">
    <w:name w:val="rvts0"/>
    <w:rsid w:val="00EE6DE9"/>
  </w:style>
  <w:style w:type="character" w:customStyle="1" w:styleId="rvts9">
    <w:name w:val="rvts9"/>
    <w:rsid w:val="00EE6DE9"/>
    <w:rPr>
      <w:rFonts w:ascii="Calibri" w:hAnsi="Calibri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0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vitza@mail.ru</dc:creator>
  <cp:keywords/>
  <dc:description/>
  <cp:lastModifiedBy>Admin</cp:lastModifiedBy>
  <cp:revision>4</cp:revision>
  <cp:lastPrinted>2021-04-21T06:52:00Z</cp:lastPrinted>
  <dcterms:created xsi:type="dcterms:W3CDTF">2021-04-21T08:59:00Z</dcterms:created>
  <dcterms:modified xsi:type="dcterms:W3CDTF">2021-04-21T09:02:00Z</dcterms:modified>
</cp:coreProperties>
</file>